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EC" w:rsidRPr="00BF3213" w:rsidRDefault="00BD6C01" w:rsidP="008E2D31">
      <w:pPr>
        <w:pStyle w:val="Heading6"/>
        <w:spacing w:after="120"/>
        <w:rPr>
          <w:rFonts w:ascii="Arial" w:hAnsi="Arial" w:cs="Arial"/>
          <w:color w:val="000000" w:themeColor="text1"/>
          <w:sz w:val="24"/>
          <w:lang w:eastAsia="zh-TW"/>
        </w:rPr>
      </w:pPr>
      <w:bookmarkStart w:id="0" w:name="_GoBack"/>
      <w:bookmarkEnd w:id="0"/>
      <w:r w:rsidRPr="00BF3213">
        <w:rPr>
          <w:rFonts w:ascii="Arial" w:hAnsi="Arial" w:cs="Arial"/>
          <w:color w:val="000000" w:themeColor="text1"/>
          <w:sz w:val="24"/>
          <w:lang w:eastAsia="zh-TW"/>
        </w:rPr>
        <w:t xml:space="preserve">Best Corporate Governance </w:t>
      </w:r>
      <w:r w:rsidR="009C5F64">
        <w:rPr>
          <w:rFonts w:ascii="Arial" w:hAnsi="Arial" w:cs="Arial"/>
          <w:color w:val="000000" w:themeColor="text1"/>
          <w:sz w:val="24"/>
          <w:lang w:eastAsia="zh-TW"/>
        </w:rPr>
        <w:t xml:space="preserve">&amp; ESG </w:t>
      </w:r>
      <w:r w:rsidRPr="00BF3213">
        <w:rPr>
          <w:rFonts w:ascii="Arial" w:hAnsi="Arial" w:cs="Arial"/>
          <w:color w:val="000000" w:themeColor="text1"/>
          <w:sz w:val="24"/>
          <w:lang w:eastAsia="zh-TW"/>
        </w:rPr>
        <w:t>Awards</w:t>
      </w:r>
      <w:r w:rsidRPr="00BF3213">
        <w:rPr>
          <w:rFonts w:ascii="Arial" w:hAnsi="Arial" w:cs="Arial" w:hint="eastAsia"/>
          <w:color w:val="000000" w:themeColor="text1"/>
          <w:sz w:val="24"/>
          <w:lang w:eastAsia="zh-TW"/>
        </w:rPr>
        <w:t xml:space="preserve"> </w:t>
      </w:r>
      <w:r w:rsidR="00E04AE4" w:rsidRPr="00BF3213">
        <w:rPr>
          <w:rFonts w:ascii="Arial" w:hAnsi="Arial" w:cs="Arial"/>
          <w:color w:val="000000" w:themeColor="text1"/>
          <w:sz w:val="24"/>
        </w:rPr>
        <w:t>202</w:t>
      </w:r>
      <w:r w:rsidR="00E04AE4">
        <w:rPr>
          <w:rFonts w:ascii="Arial" w:hAnsi="Arial" w:cs="Arial"/>
          <w:color w:val="000000" w:themeColor="text1"/>
          <w:sz w:val="24"/>
        </w:rPr>
        <w:t>3</w:t>
      </w:r>
    </w:p>
    <w:p w:rsidR="00880DEC" w:rsidRPr="00BF3213" w:rsidRDefault="00B3087E">
      <w:pPr>
        <w:pStyle w:val="Heading3"/>
        <w:tabs>
          <w:tab w:val="clear" w:pos="-1620"/>
          <w:tab w:val="clear" w:pos="720"/>
          <w:tab w:val="left" w:pos="-1350"/>
        </w:tabs>
        <w:rPr>
          <w:rFonts w:ascii="Arial" w:hAnsi="Arial" w:cs="Arial"/>
          <w:color w:val="000000" w:themeColor="text1"/>
          <w:sz w:val="28"/>
          <w:lang w:eastAsia="zh-TW"/>
        </w:rPr>
      </w:pPr>
      <w:r w:rsidRPr="00BF3213">
        <w:rPr>
          <w:rFonts w:ascii="Arial" w:hAnsi="Arial" w:cs="Arial"/>
          <w:color w:val="000000" w:themeColor="text1"/>
          <w:sz w:val="24"/>
        </w:rPr>
        <w:t>Self-</w:t>
      </w:r>
      <w:r w:rsidR="00A12116" w:rsidRPr="00BF3213">
        <w:rPr>
          <w:rFonts w:ascii="Arial" w:hAnsi="Arial" w:cs="Arial"/>
          <w:color w:val="000000" w:themeColor="text1"/>
          <w:sz w:val="24"/>
        </w:rPr>
        <w:t xml:space="preserve">Nomination for </w:t>
      </w:r>
      <w:r w:rsidR="00F65F66" w:rsidRPr="00BF3213">
        <w:rPr>
          <w:rFonts w:ascii="Arial" w:hAnsi="Arial" w:cs="Arial"/>
          <w:color w:val="000000" w:themeColor="text1"/>
          <w:sz w:val="24"/>
        </w:rPr>
        <w:t>Good</w:t>
      </w:r>
      <w:r w:rsidR="00274DC8" w:rsidRPr="00BF3213">
        <w:rPr>
          <w:rFonts w:ascii="Arial" w:hAnsi="Arial" w:cs="Arial"/>
          <w:color w:val="000000" w:themeColor="text1"/>
          <w:sz w:val="24"/>
        </w:rPr>
        <w:t xml:space="preserve"> </w:t>
      </w:r>
      <w:r w:rsidR="009C5F64">
        <w:rPr>
          <w:rFonts w:ascii="Arial" w:hAnsi="Arial" w:cs="Arial"/>
          <w:color w:val="000000" w:themeColor="text1"/>
          <w:sz w:val="24"/>
        </w:rPr>
        <w:t xml:space="preserve">CG &amp;/ or ESG </w:t>
      </w:r>
      <w:r w:rsidR="00274DC8" w:rsidRPr="00BF3213">
        <w:rPr>
          <w:rFonts w:ascii="Arial" w:hAnsi="Arial" w:cs="Arial"/>
          <w:color w:val="000000" w:themeColor="text1"/>
          <w:sz w:val="24"/>
        </w:rPr>
        <w:t>Practices</w:t>
      </w:r>
    </w:p>
    <w:p w:rsidR="00880DEC" w:rsidRPr="00BF3213" w:rsidRDefault="00880DEC">
      <w:pPr>
        <w:tabs>
          <w:tab w:val="left" w:pos="-1350"/>
        </w:tabs>
        <w:rPr>
          <w:rFonts w:ascii="Arial" w:hAnsi="Arial" w:cs="Arial"/>
          <w:bCs/>
          <w:color w:val="000000" w:themeColor="text1"/>
        </w:rPr>
      </w:pPr>
      <w:r w:rsidRPr="00BF3213">
        <w:rPr>
          <w:rFonts w:ascii="Arial" w:hAnsi="Arial" w:cs="Arial"/>
          <w:bCs/>
          <w:color w:val="000000" w:themeColor="text1"/>
        </w:rPr>
        <w:tab/>
      </w:r>
      <w:r w:rsidRPr="00BF3213">
        <w:rPr>
          <w:rFonts w:ascii="Arial" w:hAnsi="Arial" w:cs="Arial"/>
          <w:bCs/>
          <w:color w:val="000000" w:themeColor="text1"/>
        </w:rPr>
        <w:tab/>
      </w:r>
    </w:p>
    <w:p w:rsidR="00880DEC" w:rsidRPr="00BF3213" w:rsidRDefault="00880DEC">
      <w:pPr>
        <w:tabs>
          <w:tab w:val="left" w:pos="-1350"/>
        </w:tabs>
        <w:rPr>
          <w:rFonts w:ascii="Arial" w:hAnsi="Arial" w:cs="Arial"/>
          <w:bCs/>
          <w:color w:val="000000" w:themeColor="text1"/>
        </w:rPr>
      </w:pPr>
    </w:p>
    <w:p w:rsidR="00880DEC" w:rsidRPr="00BF3213" w:rsidRDefault="00C81FCD" w:rsidP="008E2D31">
      <w:pPr>
        <w:tabs>
          <w:tab w:val="left" w:pos="-1350"/>
        </w:tabs>
        <w:ind w:left="360"/>
        <w:rPr>
          <w:rFonts w:ascii="Arial" w:hAnsi="Arial" w:cs="Arial"/>
          <w:bCs/>
          <w:color w:val="000000" w:themeColor="text1"/>
          <w:u w:val="single"/>
        </w:rPr>
      </w:pPr>
      <w:r w:rsidRPr="00BF3213">
        <w:rPr>
          <w:rFonts w:ascii="Arial" w:hAnsi="Arial" w:cs="Arial"/>
          <w:bCs/>
          <w:color w:val="000000" w:themeColor="text1"/>
        </w:rPr>
        <w:t xml:space="preserve">Name of </w:t>
      </w:r>
      <w:r w:rsidR="007311CE" w:rsidRPr="00BF3213">
        <w:rPr>
          <w:rFonts w:ascii="Arial" w:hAnsi="Arial" w:cs="Arial"/>
          <w:bCs/>
          <w:color w:val="000000" w:themeColor="text1"/>
        </w:rPr>
        <w:t xml:space="preserve">Company/ </w:t>
      </w:r>
      <w:r w:rsidR="00627CEF" w:rsidRPr="00BF3213">
        <w:rPr>
          <w:rFonts w:ascii="Arial" w:hAnsi="Arial" w:cs="Arial" w:hint="eastAsia"/>
          <w:bCs/>
          <w:color w:val="000000" w:themeColor="text1"/>
          <w:lang w:eastAsia="zh-TW"/>
        </w:rPr>
        <w:t>Organiz</w:t>
      </w:r>
      <w:r w:rsidR="00DE4C9F" w:rsidRPr="00BF3213">
        <w:rPr>
          <w:rFonts w:ascii="Arial" w:hAnsi="Arial" w:cs="Arial" w:hint="eastAsia"/>
          <w:bCs/>
          <w:color w:val="000000" w:themeColor="text1"/>
          <w:lang w:eastAsia="zh-TW"/>
        </w:rPr>
        <w:t>ation</w:t>
      </w:r>
      <w:r w:rsidR="00880DEC" w:rsidRPr="00BF3213">
        <w:rPr>
          <w:rFonts w:ascii="Arial" w:hAnsi="Arial" w:cs="Arial"/>
          <w:bCs/>
          <w:color w:val="000000" w:themeColor="text1"/>
        </w:rPr>
        <w:t>:</w:t>
      </w:r>
      <w:r w:rsidR="008E2D31" w:rsidRPr="00BF3213">
        <w:rPr>
          <w:rFonts w:ascii="Arial" w:hAnsi="Arial" w:cs="Arial"/>
          <w:bCs/>
          <w:color w:val="000000" w:themeColor="text1"/>
        </w:rPr>
        <w:t xml:space="preserve"> </w:t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  <w:r w:rsidR="00880DEC" w:rsidRPr="00BF3213">
        <w:rPr>
          <w:rFonts w:ascii="Arial" w:hAnsi="Arial" w:cs="Arial"/>
          <w:bCs/>
          <w:color w:val="000000" w:themeColor="text1"/>
          <w:u w:val="single"/>
        </w:rPr>
        <w:tab/>
      </w:r>
    </w:p>
    <w:p w:rsidR="00880DEC" w:rsidRPr="00BF3213" w:rsidRDefault="00880DEC" w:rsidP="008E2D31">
      <w:pPr>
        <w:tabs>
          <w:tab w:val="left" w:pos="-1350"/>
        </w:tabs>
        <w:ind w:left="360"/>
        <w:rPr>
          <w:rFonts w:ascii="Arial" w:hAnsi="Arial" w:cs="Arial"/>
          <w:b/>
          <w:color w:val="000000" w:themeColor="text1"/>
          <w:u w:val="single"/>
        </w:rPr>
      </w:pPr>
    </w:p>
    <w:p w:rsidR="00880DEC" w:rsidRPr="00BF3213" w:rsidRDefault="00880DEC" w:rsidP="008E2D31">
      <w:pPr>
        <w:tabs>
          <w:tab w:val="left" w:pos="-1350"/>
        </w:tabs>
        <w:ind w:left="360"/>
        <w:rPr>
          <w:rFonts w:ascii="Arial" w:hAnsi="Arial" w:cs="Arial"/>
          <w:bCs/>
          <w:color w:val="000000" w:themeColor="text1"/>
        </w:rPr>
      </w:pPr>
      <w:r w:rsidRPr="00BF3213">
        <w:rPr>
          <w:rFonts w:ascii="Arial" w:hAnsi="Arial" w:cs="Arial"/>
          <w:bCs/>
          <w:color w:val="000000" w:themeColor="text1"/>
        </w:rPr>
        <w:t>Annual Report for the year ended:</w:t>
      </w:r>
      <w:r w:rsidR="008E2D31" w:rsidRPr="00BF3213">
        <w:rPr>
          <w:rFonts w:ascii="Arial" w:hAnsi="Arial" w:cs="Arial"/>
          <w:bCs/>
          <w:color w:val="000000" w:themeColor="text1"/>
        </w:rPr>
        <w:t xml:space="preserve"> </w:t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  <w:r w:rsidRPr="00BF3213">
        <w:rPr>
          <w:rFonts w:ascii="Arial" w:hAnsi="Arial" w:cs="Arial"/>
          <w:bCs/>
          <w:color w:val="000000" w:themeColor="text1"/>
          <w:u w:val="single"/>
        </w:rPr>
        <w:tab/>
      </w:r>
    </w:p>
    <w:p w:rsidR="008E2D31" w:rsidRPr="00BF3213" w:rsidRDefault="008E2D31" w:rsidP="008E2D31">
      <w:pPr>
        <w:tabs>
          <w:tab w:val="left" w:pos="-1350"/>
        </w:tabs>
        <w:rPr>
          <w:rFonts w:ascii="Arial" w:hAnsi="Arial" w:cs="Arial"/>
          <w:bCs/>
          <w:color w:val="000000" w:themeColor="text1"/>
        </w:rPr>
      </w:pPr>
      <w:r w:rsidRPr="00BF3213">
        <w:rPr>
          <w:rFonts w:ascii="Arial" w:hAnsi="Arial" w:cs="Arial"/>
          <w:bCs/>
          <w:color w:val="000000" w:themeColor="text1"/>
        </w:rPr>
        <w:tab/>
      </w:r>
    </w:p>
    <w:p w:rsidR="00880DEC" w:rsidRPr="00BF3213" w:rsidRDefault="00880DEC" w:rsidP="008E2D31">
      <w:pPr>
        <w:tabs>
          <w:tab w:val="left" w:pos="-1350"/>
        </w:tabs>
        <w:jc w:val="both"/>
        <w:rPr>
          <w:rFonts w:ascii="Arial" w:hAnsi="Arial" w:cs="Arial"/>
          <w:bCs/>
          <w:color w:val="000000" w:themeColor="text1"/>
        </w:rPr>
      </w:pPr>
    </w:p>
    <w:p w:rsidR="00066F77" w:rsidRPr="00BF3213" w:rsidRDefault="00066F77" w:rsidP="008E2D31">
      <w:pPr>
        <w:pStyle w:val="Heading9"/>
        <w:jc w:val="both"/>
        <w:rPr>
          <w:b w:val="0"/>
          <w:bCs/>
          <w:color w:val="000000" w:themeColor="text1"/>
        </w:rPr>
      </w:pPr>
      <w:r w:rsidRPr="00BF3213">
        <w:rPr>
          <w:b w:val="0"/>
          <w:bCs/>
          <w:color w:val="000000" w:themeColor="text1"/>
        </w:rPr>
        <w:t xml:space="preserve">The </w:t>
      </w:r>
      <w:r w:rsidR="00627CEF" w:rsidRPr="00BF3213">
        <w:rPr>
          <w:b w:val="0"/>
          <w:bCs/>
          <w:color w:val="000000" w:themeColor="text1"/>
        </w:rPr>
        <w:t>Organiz</w:t>
      </w:r>
      <w:r w:rsidRPr="00BF3213">
        <w:rPr>
          <w:b w:val="0"/>
          <w:bCs/>
          <w:color w:val="000000" w:themeColor="text1"/>
        </w:rPr>
        <w:t xml:space="preserve">ing Committee of the Hong Kong Institute of CPAs' Best Corporate Governance </w:t>
      </w:r>
      <w:r w:rsidR="009C5F64">
        <w:rPr>
          <w:b w:val="0"/>
          <w:bCs/>
          <w:color w:val="000000" w:themeColor="text1"/>
        </w:rPr>
        <w:t xml:space="preserve">&amp; ESG </w:t>
      </w:r>
      <w:r w:rsidRPr="00BF3213">
        <w:rPr>
          <w:b w:val="0"/>
          <w:bCs/>
          <w:color w:val="000000" w:themeColor="text1"/>
        </w:rPr>
        <w:t xml:space="preserve">Awards </w:t>
      </w:r>
      <w:r w:rsidR="00E04AE4" w:rsidRPr="00BF3213">
        <w:rPr>
          <w:b w:val="0"/>
          <w:bCs/>
          <w:color w:val="000000" w:themeColor="text1"/>
        </w:rPr>
        <w:t>202</w:t>
      </w:r>
      <w:r w:rsidR="00E04AE4">
        <w:rPr>
          <w:b w:val="0"/>
          <w:bCs/>
          <w:color w:val="000000" w:themeColor="text1"/>
        </w:rPr>
        <w:t>3</w:t>
      </w:r>
      <w:r w:rsidR="00E04AE4" w:rsidRPr="00BF3213">
        <w:rPr>
          <w:b w:val="0"/>
          <w:bCs/>
          <w:color w:val="000000" w:themeColor="text1"/>
        </w:rPr>
        <w:t xml:space="preserve"> </w:t>
      </w:r>
      <w:r w:rsidR="000E1498" w:rsidRPr="00BF3213">
        <w:rPr>
          <w:b w:val="0"/>
          <w:bCs/>
          <w:color w:val="000000" w:themeColor="text1"/>
        </w:rPr>
        <w:t>("A</w:t>
      </w:r>
      <w:r w:rsidR="00916986" w:rsidRPr="00BF3213">
        <w:rPr>
          <w:b w:val="0"/>
          <w:bCs/>
          <w:color w:val="000000" w:themeColor="text1"/>
        </w:rPr>
        <w:t>wards</w:t>
      </w:r>
      <w:r w:rsidR="007311CE" w:rsidRPr="00BF3213">
        <w:rPr>
          <w:b w:val="0"/>
          <w:bCs/>
          <w:color w:val="000000" w:themeColor="text1"/>
        </w:rPr>
        <w:t>") invites</w:t>
      </w:r>
      <w:r w:rsidR="000E1498" w:rsidRPr="00BF3213">
        <w:rPr>
          <w:b w:val="0"/>
          <w:bCs/>
          <w:color w:val="000000" w:themeColor="text1"/>
        </w:rPr>
        <w:t xml:space="preserve"> </w:t>
      </w:r>
      <w:r w:rsidR="001C0FAE" w:rsidRPr="00BF3213">
        <w:rPr>
          <w:b w:val="0"/>
          <w:bCs/>
          <w:color w:val="000000" w:themeColor="text1"/>
        </w:rPr>
        <w:t xml:space="preserve">eligible </w:t>
      </w:r>
      <w:r w:rsidR="000E1498" w:rsidRPr="00BF3213">
        <w:rPr>
          <w:b w:val="0"/>
          <w:bCs/>
          <w:color w:val="000000" w:themeColor="text1"/>
        </w:rPr>
        <w:t xml:space="preserve">listed companies </w:t>
      </w:r>
      <w:r w:rsidR="001C0FAE" w:rsidRPr="00BF3213">
        <w:rPr>
          <w:b w:val="0"/>
          <w:bCs/>
          <w:color w:val="000000" w:themeColor="text1"/>
        </w:rPr>
        <w:t>(i.e., those with</w:t>
      </w:r>
      <w:r w:rsidR="001C0FAE" w:rsidRPr="00BF3213">
        <w:rPr>
          <w:b w:val="0"/>
          <w:color w:val="000000" w:themeColor="text1"/>
          <w:lang w:eastAsia="zh-TW"/>
        </w:rPr>
        <w:t xml:space="preserve"> a market capitalization of no more than HK$</w:t>
      </w:r>
      <w:r w:rsidR="00D11A67">
        <w:rPr>
          <w:b w:val="0"/>
          <w:color w:val="000000" w:themeColor="text1"/>
          <w:lang w:eastAsia="zh-TW"/>
        </w:rPr>
        <w:t>6</w:t>
      </w:r>
      <w:r w:rsidR="001C0FAE" w:rsidRPr="00BF3213">
        <w:rPr>
          <w:b w:val="0"/>
          <w:color w:val="000000" w:themeColor="text1"/>
          <w:lang w:eastAsia="zh-TW"/>
        </w:rPr>
        <w:t xml:space="preserve"> billion (as at </w:t>
      </w:r>
      <w:r w:rsidR="00E04AE4">
        <w:rPr>
          <w:b w:val="0"/>
          <w:color w:val="000000" w:themeColor="text1"/>
          <w:lang w:eastAsia="zh-TW"/>
        </w:rPr>
        <w:t>28</w:t>
      </w:r>
      <w:r w:rsidR="00E04AE4" w:rsidRPr="00BF3213">
        <w:rPr>
          <w:b w:val="0"/>
          <w:color w:val="000000" w:themeColor="text1"/>
          <w:lang w:eastAsia="zh-TW"/>
        </w:rPr>
        <w:t xml:space="preserve"> </w:t>
      </w:r>
      <w:r w:rsidR="001C0FAE" w:rsidRPr="00BF3213">
        <w:rPr>
          <w:b w:val="0"/>
          <w:color w:val="000000" w:themeColor="text1"/>
          <w:lang w:eastAsia="zh-TW"/>
        </w:rPr>
        <w:t xml:space="preserve">April </w:t>
      </w:r>
      <w:r w:rsidR="00E04AE4" w:rsidRPr="00BF3213">
        <w:rPr>
          <w:b w:val="0"/>
          <w:color w:val="000000" w:themeColor="text1"/>
          <w:lang w:eastAsia="zh-TW"/>
        </w:rPr>
        <w:t>202</w:t>
      </w:r>
      <w:r w:rsidR="00E04AE4">
        <w:rPr>
          <w:b w:val="0"/>
          <w:color w:val="000000" w:themeColor="text1"/>
          <w:lang w:eastAsia="zh-TW"/>
        </w:rPr>
        <w:t>3</w:t>
      </w:r>
      <w:r w:rsidR="00BF3213" w:rsidRPr="00BF3213">
        <w:rPr>
          <w:b w:val="0"/>
          <w:color w:val="000000" w:themeColor="text1"/>
          <w:lang w:eastAsia="zh-TW"/>
        </w:rPr>
        <w:t>)</w:t>
      </w:r>
      <w:r w:rsidR="001C0FAE" w:rsidRPr="00BF3213">
        <w:rPr>
          <w:b w:val="0"/>
          <w:bCs/>
          <w:color w:val="000000" w:themeColor="text1"/>
        </w:rPr>
        <w:t xml:space="preserve"> </w:t>
      </w:r>
      <w:r w:rsidR="000E1498" w:rsidRPr="00BF3213">
        <w:rPr>
          <w:b w:val="0"/>
          <w:bCs/>
          <w:color w:val="000000" w:themeColor="text1"/>
        </w:rPr>
        <w:t xml:space="preserve">and public sector </w:t>
      </w:r>
      <w:r w:rsidR="00C8198C" w:rsidRPr="00BF3213">
        <w:rPr>
          <w:b w:val="0"/>
          <w:bCs/>
          <w:color w:val="000000" w:themeColor="text1"/>
        </w:rPr>
        <w:t>o</w:t>
      </w:r>
      <w:r w:rsidR="00627CEF" w:rsidRPr="00BF3213">
        <w:rPr>
          <w:b w:val="0"/>
          <w:bCs/>
          <w:color w:val="000000" w:themeColor="text1"/>
        </w:rPr>
        <w:t>rganiz</w:t>
      </w:r>
      <w:r w:rsidR="000E1498" w:rsidRPr="00BF3213">
        <w:rPr>
          <w:b w:val="0"/>
          <w:bCs/>
          <w:color w:val="000000" w:themeColor="text1"/>
        </w:rPr>
        <w:t>a</w:t>
      </w:r>
      <w:r w:rsidR="000C57BB" w:rsidRPr="00BF3213">
        <w:rPr>
          <w:b w:val="0"/>
          <w:bCs/>
          <w:color w:val="000000" w:themeColor="text1"/>
        </w:rPr>
        <w:t xml:space="preserve">tions that </w:t>
      </w:r>
      <w:r w:rsidR="000E1498" w:rsidRPr="00BF3213">
        <w:rPr>
          <w:b w:val="0"/>
          <w:bCs/>
          <w:color w:val="000000" w:themeColor="text1"/>
        </w:rPr>
        <w:t xml:space="preserve">are committed to making </w:t>
      </w:r>
      <w:r w:rsidR="006C24D3">
        <w:rPr>
          <w:b w:val="0"/>
          <w:bCs/>
          <w:color w:val="000000" w:themeColor="text1"/>
        </w:rPr>
        <w:t>substantive, self-initiated</w:t>
      </w:r>
      <w:r w:rsidR="000E1498" w:rsidRPr="00BF3213">
        <w:rPr>
          <w:b w:val="0"/>
          <w:bCs/>
          <w:color w:val="000000" w:themeColor="text1"/>
        </w:rPr>
        <w:t xml:space="preserve"> progress in their </w:t>
      </w:r>
      <w:r w:rsidR="000E1498" w:rsidRPr="00BF3213">
        <w:rPr>
          <w:b w:val="0"/>
          <w:bCs/>
          <w:color w:val="000000" w:themeColor="text1"/>
          <w:lang w:eastAsia="zh-TW"/>
        </w:rPr>
        <w:t>corporate governance</w:t>
      </w:r>
      <w:r w:rsidR="00916986" w:rsidRPr="00BF3213">
        <w:rPr>
          <w:b w:val="0"/>
          <w:bCs/>
          <w:color w:val="000000" w:themeColor="text1"/>
          <w:lang w:eastAsia="zh-TW"/>
        </w:rPr>
        <w:t xml:space="preserve"> (</w:t>
      </w:r>
      <w:r w:rsidR="00452419" w:rsidRPr="00BF3213">
        <w:rPr>
          <w:b w:val="0"/>
          <w:bCs/>
          <w:color w:val="000000" w:themeColor="text1"/>
          <w:lang w:eastAsia="zh-TW"/>
        </w:rPr>
        <w:t>"</w:t>
      </w:r>
      <w:r w:rsidR="00916986" w:rsidRPr="00BF3213">
        <w:rPr>
          <w:b w:val="0"/>
          <w:bCs/>
          <w:color w:val="000000" w:themeColor="text1"/>
          <w:lang w:eastAsia="zh-TW"/>
        </w:rPr>
        <w:t>CG</w:t>
      </w:r>
      <w:r w:rsidR="00452419" w:rsidRPr="00BF3213">
        <w:rPr>
          <w:b w:val="0"/>
          <w:bCs/>
          <w:color w:val="000000" w:themeColor="text1"/>
          <w:lang w:eastAsia="zh-TW"/>
        </w:rPr>
        <w:t>"</w:t>
      </w:r>
      <w:r w:rsidR="00916986" w:rsidRPr="00BF3213">
        <w:rPr>
          <w:b w:val="0"/>
          <w:bCs/>
          <w:color w:val="000000" w:themeColor="text1"/>
          <w:lang w:eastAsia="zh-TW"/>
        </w:rPr>
        <w:t>)</w:t>
      </w:r>
      <w:r w:rsidR="009C5F64">
        <w:rPr>
          <w:b w:val="0"/>
          <w:bCs/>
          <w:color w:val="000000" w:themeColor="text1"/>
          <w:lang w:eastAsia="zh-TW"/>
        </w:rPr>
        <w:t xml:space="preserve"> and / or environmental, social and g</w:t>
      </w:r>
      <w:r w:rsidR="009C5F64" w:rsidRPr="009C5F64">
        <w:rPr>
          <w:b w:val="0"/>
          <w:bCs/>
          <w:color w:val="000000" w:themeColor="text1"/>
          <w:lang w:eastAsia="zh-TW"/>
        </w:rPr>
        <w:t>overnance (</w:t>
      </w:r>
      <w:r w:rsidR="009C5F64">
        <w:rPr>
          <w:b w:val="0"/>
          <w:bCs/>
          <w:color w:val="000000" w:themeColor="text1"/>
          <w:lang w:eastAsia="zh-TW"/>
        </w:rPr>
        <w:t>“</w:t>
      </w:r>
      <w:r w:rsidR="009C5F64" w:rsidRPr="009C5F64">
        <w:rPr>
          <w:b w:val="0"/>
          <w:bCs/>
          <w:color w:val="000000" w:themeColor="text1"/>
          <w:lang w:eastAsia="zh-TW"/>
        </w:rPr>
        <w:t>ESG</w:t>
      </w:r>
      <w:r w:rsidR="009C5F64">
        <w:rPr>
          <w:b w:val="0"/>
          <w:bCs/>
          <w:color w:val="000000" w:themeColor="text1"/>
          <w:lang w:eastAsia="zh-TW"/>
        </w:rPr>
        <w:t>”</w:t>
      </w:r>
      <w:r w:rsidR="009C5F64" w:rsidRPr="009C5F64">
        <w:rPr>
          <w:b w:val="0"/>
          <w:bCs/>
          <w:color w:val="000000" w:themeColor="text1"/>
          <w:lang w:eastAsia="zh-TW"/>
        </w:rPr>
        <w:t>)</w:t>
      </w:r>
      <w:r w:rsidR="000E1498" w:rsidRPr="00BF3213">
        <w:rPr>
          <w:b w:val="0"/>
          <w:bCs/>
          <w:color w:val="000000" w:themeColor="text1"/>
          <w:lang w:eastAsia="zh-TW"/>
        </w:rPr>
        <w:t xml:space="preserve"> </w:t>
      </w:r>
      <w:r w:rsidR="00A005EE">
        <w:rPr>
          <w:b w:val="0"/>
          <w:bCs/>
          <w:color w:val="000000" w:themeColor="text1"/>
          <w:lang w:eastAsia="zh-TW"/>
        </w:rPr>
        <w:t xml:space="preserve">performance </w:t>
      </w:r>
      <w:r w:rsidR="000E1498" w:rsidRPr="00BF3213">
        <w:rPr>
          <w:b w:val="0"/>
          <w:bCs/>
          <w:color w:val="000000" w:themeColor="text1"/>
          <w:lang w:eastAsia="zh-TW"/>
        </w:rPr>
        <w:t xml:space="preserve">to nominate themselves for consideration in this category of </w:t>
      </w:r>
      <w:r w:rsidR="00916986" w:rsidRPr="00BF3213">
        <w:rPr>
          <w:b w:val="0"/>
          <w:bCs/>
          <w:color w:val="000000" w:themeColor="text1"/>
          <w:lang w:eastAsia="zh-TW"/>
        </w:rPr>
        <w:t xml:space="preserve">the </w:t>
      </w:r>
      <w:r w:rsidR="000E1498" w:rsidRPr="00BF3213">
        <w:rPr>
          <w:b w:val="0"/>
          <w:bCs/>
          <w:color w:val="000000" w:themeColor="text1"/>
          <w:lang w:eastAsia="zh-TW"/>
        </w:rPr>
        <w:t>A</w:t>
      </w:r>
      <w:r w:rsidR="00916986" w:rsidRPr="00BF3213">
        <w:rPr>
          <w:b w:val="0"/>
          <w:bCs/>
          <w:color w:val="000000" w:themeColor="text1"/>
          <w:lang w:eastAsia="zh-TW"/>
        </w:rPr>
        <w:t>wards</w:t>
      </w:r>
      <w:r w:rsidR="000E1498" w:rsidRPr="00BF3213">
        <w:rPr>
          <w:b w:val="0"/>
          <w:bCs/>
          <w:color w:val="000000" w:themeColor="text1"/>
          <w:lang w:eastAsia="zh-TW"/>
        </w:rPr>
        <w:t xml:space="preserve">.   </w:t>
      </w:r>
      <w:r w:rsidRPr="00BF3213">
        <w:rPr>
          <w:b w:val="0"/>
          <w:bCs/>
          <w:color w:val="000000" w:themeColor="text1"/>
        </w:rPr>
        <w:t xml:space="preserve"> </w:t>
      </w:r>
    </w:p>
    <w:p w:rsidR="00066F77" w:rsidRPr="00BF3213" w:rsidRDefault="00066F77" w:rsidP="008E2D31">
      <w:pPr>
        <w:pStyle w:val="Heading9"/>
        <w:jc w:val="both"/>
        <w:rPr>
          <w:b w:val="0"/>
          <w:bCs/>
          <w:color w:val="000000" w:themeColor="text1"/>
        </w:rPr>
      </w:pPr>
    </w:p>
    <w:p w:rsidR="00880DEC" w:rsidRPr="00BF3213" w:rsidRDefault="00880DEC" w:rsidP="008E2D31">
      <w:pPr>
        <w:pStyle w:val="Heading9"/>
        <w:jc w:val="both"/>
        <w:rPr>
          <w:b w:val="0"/>
          <w:bCs/>
          <w:color w:val="000000" w:themeColor="text1"/>
          <w:lang w:eastAsia="zh-TW"/>
        </w:rPr>
      </w:pPr>
      <w:r w:rsidRPr="00BF3213">
        <w:rPr>
          <w:b w:val="0"/>
          <w:bCs/>
          <w:color w:val="000000" w:themeColor="text1"/>
        </w:rPr>
        <w:t xml:space="preserve">Please </w:t>
      </w:r>
      <w:r w:rsidR="00ED7F05" w:rsidRPr="00BF3213">
        <w:rPr>
          <w:b w:val="0"/>
          <w:bCs/>
          <w:color w:val="000000" w:themeColor="text1"/>
        </w:rPr>
        <w:t>specify</w:t>
      </w:r>
      <w:r w:rsidRPr="00BF3213">
        <w:rPr>
          <w:b w:val="0"/>
          <w:bCs/>
          <w:color w:val="000000" w:themeColor="text1"/>
        </w:rPr>
        <w:t xml:space="preserve"> </w:t>
      </w:r>
      <w:r w:rsidR="00274DC8" w:rsidRPr="00BF3213">
        <w:rPr>
          <w:b w:val="0"/>
          <w:bCs/>
          <w:color w:val="000000" w:themeColor="text1"/>
          <w:lang w:eastAsia="zh-TW"/>
        </w:rPr>
        <w:t xml:space="preserve">any good </w:t>
      </w:r>
      <w:r w:rsidR="000E1498" w:rsidRPr="00BF3213">
        <w:rPr>
          <w:b w:val="0"/>
          <w:bCs/>
          <w:color w:val="000000" w:themeColor="text1"/>
          <w:lang w:eastAsia="zh-TW"/>
        </w:rPr>
        <w:t>CG</w:t>
      </w:r>
      <w:r w:rsidR="009C5F64">
        <w:rPr>
          <w:b w:val="0"/>
          <w:bCs/>
          <w:color w:val="000000" w:themeColor="text1"/>
          <w:lang w:eastAsia="zh-TW"/>
        </w:rPr>
        <w:t xml:space="preserve"> and/ or ESG</w:t>
      </w:r>
      <w:r w:rsidR="00066F77" w:rsidRPr="00BF3213">
        <w:rPr>
          <w:b w:val="0"/>
          <w:bCs/>
          <w:color w:val="000000" w:themeColor="text1"/>
          <w:lang w:eastAsia="zh-TW"/>
        </w:rPr>
        <w:t xml:space="preserve"> </w:t>
      </w:r>
      <w:r w:rsidR="00274DC8" w:rsidRPr="00BF3213">
        <w:rPr>
          <w:b w:val="0"/>
          <w:bCs/>
          <w:color w:val="000000" w:themeColor="text1"/>
          <w:lang w:eastAsia="zh-TW"/>
        </w:rPr>
        <w:t>practices</w:t>
      </w:r>
      <w:r w:rsidR="000E1498" w:rsidRPr="00BF3213">
        <w:rPr>
          <w:b w:val="0"/>
          <w:bCs/>
          <w:color w:val="000000" w:themeColor="text1"/>
          <w:lang w:eastAsia="zh-TW"/>
        </w:rPr>
        <w:t xml:space="preserve"> </w:t>
      </w:r>
      <w:r w:rsidR="00066F77" w:rsidRPr="00BF3213">
        <w:rPr>
          <w:b w:val="0"/>
          <w:bCs/>
          <w:color w:val="000000" w:themeColor="text1"/>
          <w:lang w:eastAsia="zh-TW"/>
        </w:rPr>
        <w:t>that</w:t>
      </w:r>
      <w:r w:rsidR="00B3087E" w:rsidRPr="00BF3213">
        <w:rPr>
          <w:b w:val="0"/>
          <w:bCs/>
          <w:color w:val="000000" w:themeColor="text1"/>
        </w:rPr>
        <w:t xml:space="preserve"> </w:t>
      </w:r>
      <w:r w:rsidR="00C81FCD" w:rsidRPr="00BF3213">
        <w:rPr>
          <w:b w:val="0"/>
          <w:bCs/>
          <w:color w:val="000000" w:themeColor="text1"/>
        </w:rPr>
        <w:t xml:space="preserve">your </w:t>
      </w:r>
      <w:r w:rsidR="00C8198C" w:rsidRPr="00BF3213">
        <w:rPr>
          <w:b w:val="0"/>
          <w:bCs/>
          <w:color w:val="000000" w:themeColor="text1"/>
        </w:rPr>
        <w:t>company/</w:t>
      </w:r>
      <w:r w:rsidR="00ED5A08" w:rsidRPr="00BF3213">
        <w:rPr>
          <w:b w:val="0"/>
          <w:bCs/>
          <w:color w:val="000000" w:themeColor="text1"/>
        </w:rPr>
        <w:t xml:space="preserve"> </w:t>
      </w:r>
      <w:r w:rsidR="00C8198C" w:rsidRPr="00BF3213">
        <w:rPr>
          <w:b w:val="0"/>
          <w:bCs/>
          <w:color w:val="000000" w:themeColor="text1"/>
        </w:rPr>
        <w:t>o</w:t>
      </w:r>
      <w:r w:rsidR="00627CEF" w:rsidRPr="00BF3213">
        <w:rPr>
          <w:b w:val="0"/>
          <w:bCs/>
          <w:color w:val="000000" w:themeColor="text1"/>
        </w:rPr>
        <w:t>rganiz</w:t>
      </w:r>
      <w:r w:rsidR="00C81FCD" w:rsidRPr="00BF3213">
        <w:rPr>
          <w:b w:val="0"/>
          <w:bCs/>
          <w:color w:val="000000" w:themeColor="text1"/>
        </w:rPr>
        <w:t>ation</w:t>
      </w:r>
      <w:r w:rsidR="007236D8" w:rsidRPr="00BF3213">
        <w:rPr>
          <w:b w:val="0"/>
          <w:bCs/>
          <w:color w:val="000000" w:themeColor="text1"/>
          <w:lang w:eastAsia="zh-TW"/>
        </w:rPr>
        <w:t xml:space="preserve"> </w:t>
      </w:r>
      <w:r w:rsidR="00066F77" w:rsidRPr="00BF3213">
        <w:rPr>
          <w:b w:val="0"/>
          <w:bCs/>
          <w:color w:val="000000" w:themeColor="text1"/>
          <w:lang w:eastAsia="zh-TW"/>
        </w:rPr>
        <w:t>has</w:t>
      </w:r>
      <w:r w:rsidR="007A6DC9" w:rsidRPr="00BF3213">
        <w:rPr>
          <w:b w:val="0"/>
          <w:bCs/>
          <w:color w:val="000000" w:themeColor="text1"/>
        </w:rPr>
        <w:t xml:space="preserve"> </w:t>
      </w:r>
      <w:r w:rsidR="007A6DC9" w:rsidRPr="00BF3213">
        <w:rPr>
          <w:b w:val="0"/>
          <w:bCs/>
          <w:color w:val="000000" w:themeColor="text1"/>
          <w:lang w:eastAsia="zh-TW"/>
        </w:rPr>
        <w:t>in</w:t>
      </w:r>
      <w:r w:rsidR="00066F77" w:rsidRPr="00BF3213">
        <w:rPr>
          <w:b w:val="0"/>
          <w:bCs/>
          <w:color w:val="000000" w:themeColor="text1"/>
          <w:lang w:eastAsia="zh-TW"/>
        </w:rPr>
        <w:t xml:space="preserve">troduced </w:t>
      </w:r>
      <w:r w:rsidR="001565C7" w:rsidRPr="00BF3213">
        <w:rPr>
          <w:b w:val="0"/>
          <w:bCs/>
          <w:color w:val="000000" w:themeColor="text1"/>
          <w:lang w:eastAsia="zh-TW"/>
        </w:rPr>
        <w:t xml:space="preserve">in </w:t>
      </w:r>
      <w:r w:rsidR="00B3087E" w:rsidRPr="00BF3213">
        <w:rPr>
          <w:b w:val="0"/>
          <w:bCs/>
          <w:color w:val="000000" w:themeColor="text1"/>
        </w:rPr>
        <w:t xml:space="preserve">terms of </w:t>
      </w:r>
      <w:r w:rsidR="00066F77" w:rsidRPr="00BF3213">
        <w:rPr>
          <w:b w:val="0"/>
          <w:bCs/>
          <w:color w:val="000000" w:themeColor="text1"/>
        </w:rPr>
        <w:t xml:space="preserve">new </w:t>
      </w:r>
      <w:r w:rsidR="001C0FAE" w:rsidRPr="00BF3213">
        <w:rPr>
          <w:b w:val="0"/>
          <w:bCs/>
          <w:color w:val="000000" w:themeColor="text1"/>
        </w:rPr>
        <w:t xml:space="preserve">or upgraded </w:t>
      </w:r>
      <w:r w:rsidR="00066F77" w:rsidRPr="00BF3213">
        <w:rPr>
          <w:b w:val="0"/>
          <w:bCs/>
          <w:color w:val="000000" w:themeColor="text1"/>
        </w:rPr>
        <w:t>CG</w:t>
      </w:r>
      <w:r w:rsidR="009C5F64">
        <w:rPr>
          <w:b w:val="0"/>
          <w:bCs/>
          <w:color w:val="000000" w:themeColor="text1"/>
        </w:rPr>
        <w:t xml:space="preserve"> </w:t>
      </w:r>
      <w:r w:rsidR="009C5F64">
        <w:rPr>
          <w:b w:val="0"/>
          <w:bCs/>
          <w:color w:val="000000" w:themeColor="text1"/>
          <w:lang w:eastAsia="zh-TW"/>
        </w:rPr>
        <w:t>and/ or ESG</w:t>
      </w:r>
      <w:r w:rsidR="00066F77" w:rsidRPr="00BF3213">
        <w:rPr>
          <w:b w:val="0"/>
          <w:bCs/>
          <w:color w:val="000000" w:themeColor="text1"/>
        </w:rPr>
        <w:t xml:space="preserve"> structures, policies </w:t>
      </w:r>
      <w:r w:rsidR="00916986" w:rsidRPr="00BF3213">
        <w:rPr>
          <w:b w:val="0"/>
          <w:bCs/>
          <w:color w:val="000000" w:themeColor="text1"/>
        </w:rPr>
        <w:t>or</w:t>
      </w:r>
      <w:r w:rsidR="00066F77" w:rsidRPr="00BF3213">
        <w:rPr>
          <w:b w:val="0"/>
          <w:bCs/>
          <w:color w:val="000000" w:themeColor="text1"/>
        </w:rPr>
        <w:t xml:space="preserve"> processes</w:t>
      </w:r>
      <w:r w:rsidR="00274DC8" w:rsidRPr="00BF3213">
        <w:rPr>
          <w:b w:val="0"/>
          <w:bCs/>
          <w:color w:val="000000" w:themeColor="text1"/>
          <w:lang w:eastAsia="zh-TW"/>
        </w:rPr>
        <w:t xml:space="preserve">, </w:t>
      </w:r>
      <w:r w:rsidR="00B3087E" w:rsidRPr="00D11A67">
        <w:rPr>
          <w:bCs/>
          <w:color w:val="000000" w:themeColor="text1"/>
          <w:u w:val="single"/>
        </w:rPr>
        <w:t xml:space="preserve">as </w:t>
      </w:r>
      <w:r w:rsidR="00066F77" w:rsidRPr="00D11A67">
        <w:rPr>
          <w:bCs/>
          <w:color w:val="000000" w:themeColor="text1"/>
          <w:u w:val="single"/>
        </w:rPr>
        <w:t>disclosed</w:t>
      </w:r>
      <w:r w:rsidR="00B3087E" w:rsidRPr="00D11A67">
        <w:rPr>
          <w:bCs/>
          <w:color w:val="000000" w:themeColor="text1"/>
          <w:u w:val="single"/>
        </w:rPr>
        <w:t xml:space="preserve"> in </w:t>
      </w:r>
      <w:r w:rsidR="00A005EE">
        <w:rPr>
          <w:bCs/>
          <w:color w:val="000000" w:themeColor="text1"/>
          <w:u w:val="single"/>
        </w:rPr>
        <w:t>your</w:t>
      </w:r>
      <w:r w:rsidR="00B3087E" w:rsidRPr="00D11A67">
        <w:rPr>
          <w:bCs/>
          <w:color w:val="000000" w:themeColor="text1"/>
          <w:u w:val="single"/>
        </w:rPr>
        <w:t xml:space="preserve"> </w:t>
      </w:r>
      <w:r w:rsidR="00E04AE4" w:rsidRPr="00D11A67">
        <w:rPr>
          <w:bCs/>
          <w:color w:val="000000" w:themeColor="text1"/>
          <w:u w:val="single"/>
        </w:rPr>
        <w:t>202</w:t>
      </w:r>
      <w:r w:rsidR="00E04AE4">
        <w:rPr>
          <w:bCs/>
          <w:color w:val="000000" w:themeColor="text1"/>
          <w:u w:val="single"/>
        </w:rPr>
        <w:t>2</w:t>
      </w:r>
      <w:r w:rsidR="00DA6577" w:rsidRPr="00D11A67">
        <w:rPr>
          <w:bCs/>
          <w:color w:val="000000" w:themeColor="text1"/>
          <w:u w:val="single"/>
        </w:rPr>
        <w:t>/</w:t>
      </w:r>
      <w:r w:rsidR="00E04AE4" w:rsidRPr="00D11A67">
        <w:rPr>
          <w:bCs/>
          <w:color w:val="000000" w:themeColor="text1"/>
          <w:u w:val="single"/>
        </w:rPr>
        <w:t>2</w:t>
      </w:r>
      <w:r w:rsidR="00E04AE4">
        <w:rPr>
          <w:bCs/>
          <w:color w:val="000000" w:themeColor="text1"/>
          <w:u w:val="single"/>
        </w:rPr>
        <w:t>3</w:t>
      </w:r>
      <w:r w:rsidR="00E04AE4" w:rsidRPr="00D11A67">
        <w:rPr>
          <w:bCs/>
          <w:color w:val="000000" w:themeColor="text1"/>
          <w:u w:val="single"/>
          <w:lang w:eastAsia="zh-TW"/>
        </w:rPr>
        <w:t xml:space="preserve"> </w:t>
      </w:r>
      <w:r w:rsidR="00DE4C9F" w:rsidRPr="00D11A67">
        <w:rPr>
          <w:bCs/>
          <w:color w:val="000000" w:themeColor="text1"/>
          <w:u w:val="single"/>
        </w:rPr>
        <w:t>annual</w:t>
      </w:r>
      <w:r w:rsidR="00284B31" w:rsidRPr="00D11A67">
        <w:rPr>
          <w:bCs/>
          <w:color w:val="000000" w:themeColor="text1"/>
          <w:u w:val="single"/>
        </w:rPr>
        <w:t xml:space="preserve">/ ESG </w:t>
      </w:r>
      <w:r w:rsidR="00DE4C9F" w:rsidRPr="00D11A67">
        <w:rPr>
          <w:bCs/>
          <w:color w:val="000000" w:themeColor="text1"/>
          <w:u w:val="single"/>
        </w:rPr>
        <w:t>report</w:t>
      </w:r>
      <w:r w:rsidR="00284B31" w:rsidRPr="00D11A67">
        <w:rPr>
          <w:bCs/>
          <w:color w:val="000000" w:themeColor="text1"/>
          <w:u w:val="single"/>
        </w:rPr>
        <w:t>s</w:t>
      </w:r>
      <w:r w:rsidR="00DE4C9F" w:rsidRPr="00BF3213">
        <w:rPr>
          <w:b w:val="0"/>
          <w:bCs/>
          <w:color w:val="000000" w:themeColor="text1"/>
          <w:lang w:eastAsia="zh-TW"/>
        </w:rPr>
        <w:t>.</w:t>
      </w:r>
      <w:r w:rsidR="00D71C05" w:rsidRPr="00BF3213">
        <w:rPr>
          <w:b w:val="0"/>
          <w:bCs/>
          <w:color w:val="000000" w:themeColor="text1"/>
          <w:lang w:eastAsia="zh-TW"/>
        </w:rPr>
        <w:t xml:space="preserve"> </w:t>
      </w:r>
      <w:r w:rsidR="006F1CFB" w:rsidRPr="00BF3213">
        <w:rPr>
          <w:rFonts w:hint="eastAsia"/>
          <w:b w:val="0"/>
          <w:bCs/>
          <w:color w:val="000000" w:themeColor="text1"/>
          <w:lang w:eastAsia="zh-TW"/>
        </w:rPr>
        <w:t>Please</w:t>
      </w:r>
      <w:r w:rsidR="003B48D7" w:rsidRPr="00BF3213">
        <w:rPr>
          <w:b w:val="0"/>
          <w:bCs/>
          <w:color w:val="000000" w:themeColor="text1"/>
          <w:lang w:eastAsia="zh-TW"/>
        </w:rPr>
        <w:t xml:space="preserve"> indicate </w:t>
      </w:r>
      <w:r w:rsidR="00C8198C" w:rsidRPr="00BF3213">
        <w:rPr>
          <w:b w:val="0"/>
          <w:bCs/>
          <w:color w:val="000000" w:themeColor="text1"/>
          <w:lang w:eastAsia="zh-TW"/>
        </w:rPr>
        <w:t xml:space="preserve">how they have been implemented within </w:t>
      </w:r>
      <w:r w:rsidR="000C57BB" w:rsidRPr="00BF3213">
        <w:rPr>
          <w:b w:val="0"/>
          <w:bCs/>
          <w:color w:val="000000" w:themeColor="text1"/>
          <w:lang w:eastAsia="zh-TW"/>
        </w:rPr>
        <w:t xml:space="preserve">the </w:t>
      </w:r>
      <w:r w:rsidR="00C8198C" w:rsidRPr="00BF3213">
        <w:rPr>
          <w:b w:val="0"/>
          <w:bCs/>
          <w:color w:val="000000" w:themeColor="text1"/>
        </w:rPr>
        <w:t>company/</w:t>
      </w:r>
      <w:r w:rsidR="00BF3213" w:rsidRPr="00BF3213">
        <w:rPr>
          <w:b w:val="0"/>
          <w:bCs/>
          <w:color w:val="000000" w:themeColor="text1"/>
        </w:rPr>
        <w:t xml:space="preserve"> </w:t>
      </w:r>
      <w:r w:rsidR="00C8198C" w:rsidRPr="00BF3213">
        <w:rPr>
          <w:b w:val="0"/>
          <w:bCs/>
          <w:color w:val="000000" w:themeColor="text1"/>
        </w:rPr>
        <w:t>o</w:t>
      </w:r>
      <w:r w:rsidR="00627CEF" w:rsidRPr="00BF3213">
        <w:rPr>
          <w:b w:val="0"/>
          <w:bCs/>
          <w:color w:val="000000" w:themeColor="text1"/>
        </w:rPr>
        <w:t>rganiz</w:t>
      </w:r>
      <w:r w:rsidR="00C8198C" w:rsidRPr="00BF3213">
        <w:rPr>
          <w:b w:val="0"/>
          <w:bCs/>
          <w:color w:val="000000" w:themeColor="text1"/>
        </w:rPr>
        <w:t>ation</w:t>
      </w:r>
      <w:r w:rsidR="003B48D7" w:rsidRPr="00BF3213">
        <w:rPr>
          <w:b w:val="0"/>
          <w:bCs/>
          <w:color w:val="000000" w:themeColor="text1"/>
          <w:lang w:eastAsia="zh-TW"/>
        </w:rPr>
        <w:t xml:space="preserve">. </w:t>
      </w:r>
      <w:r w:rsidR="001A061A" w:rsidRPr="00BF3213">
        <w:rPr>
          <w:b w:val="0"/>
          <w:bCs/>
          <w:color w:val="000000" w:themeColor="text1"/>
          <w:lang w:eastAsia="zh-TW"/>
        </w:rPr>
        <w:t xml:space="preserve">The </w:t>
      </w:r>
      <w:r w:rsidR="00916986" w:rsidRPr="00BF3213">
        <w:rPr>
          <w:b w:val="0"/>
          <w:bCs/>
          <w:color w:val="000000" w:themeColor="text1"/>
          <w:lang w:eastAsia="zh-TW"/>
        </w:rPr>
        <w:t>extent to which</w:t>
      </w:r>
      <w:r w:rsidR="001A061A" w:rsidRPr="00BF3213">
        <w:rPr>
          <w:b w:val="0"/>
          <w:bCs/>
          <w:color w:val="000000" w:themeColor="text1"/>
          <w:lang w:eastAsia="zh-TW"/>
        </w:rPr>
        <w:t xml:space="preserve"> </w:t>
      </w:r>
      <w:r w:rsidR="00B651BC" w:rsidRPr="00BF3213">
        <w:rPr>
          <w:b w:val="0"/>
          <w:bCs/>
          <w:color w:val="000000" w:themeColor="text1"/>
          <w:lang w:eastAsia="zh-TW"/>
        </w:rPr>
        <w:t>the</w:t>
      </w:r>
      <w:r w:rsidR="00274DC8" w:rsidRPr="00BF3213">
        <w:rPr>
          <w:b w:val="0"/>
          <w:bCs/>
          <w:color w:val="000000" w:themeColor="text1"/>
          <w:lang w:eastAsia="zh-TW"/>
        </w:rPr>
        <w:t xml:space="preserve"> practices </w:t>
      </w:r>
      <w:r w:rsidR="00916986" w:rsidRPr="00BF3213">
        <w:rPr>
          <w:b w:val="0"/>
          <w:bCs/>
          <w:color w:val="000000" w:themeColor="text1"/>
          <w:lang w:eastAsia="zh-TW"/>
        </w:rPr>
        <w:t xml:space="preserve">exceed any relevant regulatory requirements </w:t>
      </w:r>
      <w:r w:rsidR="001A061A" w:rsidRPr="00BF3213">
        <w:rPr>
          <w:b w:val="0"/>
          <w:bCs/>
          <w:color w:val="000000" w:themeColor="text1"/>
          <w:lang w:eastAsia="zh-TW"/>
        </w:rPr>
        <w:t>will be a factor in drawing up the shortlist</w:t>
      </w:r>
      <w:r w:rsidR="008F45B5" w:rsidRPr="00BF3213">
        <w:rPr>
          <w:b w:val="0"/>
          <w:bCs/>
          <w:color w:val="000000" w:themeColor="text1"/>
          <w:lang w:eastAsia="zh-TW"/>
        </w:rPr>
        <w:t xml:space="preserve">. </w:t>
      </w:r>
    </w:p>
    <w:p w:rsidR="008F45B5" w:rsidRPr="00BF3213" w:rsidRDefault="008F45B5" w:rsidP="008E2D31">
      <w:pPr>
        <w:jc w:val="both"/>
        <w:rPr>
          <w:rFonts w:ascii="Arial" w:hAnsi="Arial" w:cs="Arial"/>
          <w:color w:val="000000" w:themeColor="text1"/>
          <w:sz w:val="20"/>
          <w:lang w:eastAsia="zh-TW"/>
        </w:rPr>
      </w:pPr>
    </w:p>
    <w:p w:rsidR="006F1CFB" w:rsidRPr="00BF3213" w:rsidRDefault="001A061A" w:rsidP="008E2D31">
      <w:pPr>
        <w:jc w:val="both"/>
        <w:rPr>
          <w:rFonts w:ascii="Arial" w:hAnsi="Arial" w:cs="Arial"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To </w:t>
      </w:r>
      <w:r w:rsidR="00916986" w:rsidRPr="00BF3213">
        <w:rPr>
          <w:rFonts w:ascii="Arial" w:hAnsi="Arial" w:cs="Arial"/>
          <w:color w:val="000000" w:themeColor="text1"/>
          <w:sz w:val="20"/>
          <w:lang w:eastAsia="zh-TW"/>
        </w:rPr>
        <w:t>illustrate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the </w:t>
      </w:r>
      <w:r w:rsidR="00916986" w:rsidRPr="00BF3213">
        <w:rPr>
          <w:rFonts w:ascii="Arial" w:hAnsi="Arial" w:cs="Arial"/>
          <w:color w:val="000000" w:themeColor="text1"/>
          <w:sz w:val="20"/>
          <w:lang w:eastAsia="zh-TW"/>
        </w:rPr>
        <w:t>kinds of CG</w:t>
      </w:r>
      <w:r w:rsidR="006850BF" w:rsidRPr="006850BF">
        <w:t xml:space="preserve"> </w:t>
      </w:r>
      <w:r w:rsidR="006850BF" w:rsidRPr="006850BF">
        <w:rPr>
          <w:rFonts w:ascii="Arial" w:hAnsi="Arial" w:cs="Arial"/>
          <w:color w:val="000000" w:themeColor="text1"/>
          <w:sz w:val="20"/>
          <w:lang w:eastAsia="zh-TW"/>
        </w:rPr>
        <w:t>and/ or ESG</w:t>
      </w:r>
      <w:r w:rsidR="00916986" w:rsidRPr="006850BF">
        <w:rPr>
          <w:rFonts w:ascii="Arial" w:hAnsi="Arial" w:cs="Arial"/>
          <w:color w:val="000000" w:themeColor="text1"/>
          <w:sz w:val="20"/>
          <w:lang w:eastAsia="zh-TW"/>
        </w:rPr>
        <w:t xml:space="preserve"> </w:t>
      </w:r>
      <w:r w:rsidR="00274DC8"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practices </w:t>
      </w:r>
      <w:r w:rsidR="004467B4" w:rsidRPr="00BF3213">
        <w:rPr>
          <w:rFonts w:ascii="Arial" w:hAnsi="Arial" w:cs="Arial"/>
          <w:color w:val="000000" w:themeColor="text1"/>
          <w:sz w:val="20"/>
          <w:lang w:eastAsia="zh-TW"/>
        </w:rPr>
        <w:t>that the Awards reviewers and judges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are looking for</w:t>
      </w:r>
      <w:r w:rsidR="00B8164C" w:rsidRPr="00BF3213">
        <w:rPr>
          <w:rFonts w:ascii="Arial" w:hAnsi="Arial" w:cs="Arial"/>
          <w:color w:val="000000" w:themeColor="text1"/>
          <w:sz w:val="20"/>
          <w:lang w:eastAsia="zh-TW"/>
        </w:rPr>
        <w:t>,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examples are provided</w:t>
      </w:r>
      <w:r w:rsidR="000C57BB"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below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>. Please note</w:t>
      </w:r>
      <w:r w:rsidR="00B8164C" w:rsidRPr="00BF3213">
        <w:rPr>
          <w:rFonts w:ascii="Arial" w:hAnsi="Arial" w:cs="Arial"/>
          <w:color w:val="000000" w:themeColor="text1"/>
          <w:sz w:val="20"/>
          <w:lang w:eastAsia="zh-TW"/>
        </w:rPr>
        <w:t>,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these are examples </w:t>
      </w:r>
      <w:r w:rsidR="00511F16">
        <w:rPr>
          <w:rFonts w:ascii="Arial" w:hAnsi="Arial" w:cs="Arial"/>
          <w:b/>
          <w:color w:val="000000" w:themeColor="text1"/>
          <w:sz w:val="20"/>
          <w:lang w:eastAsia="zh-TW"/>
        </w:rPr>
        <w:t xml:space="preserve">for illustration </w:t>
      </w:r>
      <w:r w:rsidR="00ED5A08" w:rsidRPr="00BF3213">
        <w:rPr>
          <w:rFonts w:ascii="Arial" w:hAnsi="Arial" w:cs="Arial"/>
          <w:b/>
          <w:color w:val="000000" w:themeColor="text1"/>
          <w:sz w:val="20"/>
          <w:lang w:eastAsia="zh-TW"/>
        </w:rPr>
        <w:t>only.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</w:t>
      </w:r>
      <w:r w:rsidR="00ED5A08" w:rsidRPr="00BF3213">
        <w:rPr>
          <w:rFonts w:ascii="Arial" w:hAnsi="Arial" w:cs="Arial"/>
          <w:b/>
          <w:color w:val="000000" w:themeColor="text1"/>
          <w:sz w:val="20"/>
          <w:lang w:eastAsia="zh-TW"/>
        </w:rPr>
        <w:t>I</w:t>
      </w:r>
      <w:r w:rsidR="00916986"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t is 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not </w:t>
      </w:r>
      <w:r w:rsidR="00916986" w:rsidRPr="00BF3213">
        <w:rPr>
          <w:rFonts w:ascii="Arial" w:hAnsi="Arial" w:cs="Arial"/>
          <w:b/>
          <w:color w:val="000000" w:themeColor="text1"/>
          <w:sz w:val="20"/>
          <w:lang w:eastAsia="zh-TW"/>
        </w:rPr>
        <w:t>required that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</w:t>
      </w:r>
      <w:r w:rsidR="000C57BB"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the </w:t>
      </w:r>
      <w:r w:rsidR="00274DC8" w:rsidRPr="00BF3213">
        <w:rPr>
          <w:rFonts w:ascii="Arial" w:hAnsi="Arial" w:cs="Arial"/>
          <w:b/>
          <w:color w:val="000000" w:themeColor="text1"/>
          <w:sz w:val="20"/>
          <w:lang w:eastAsia="zh-TW"/>
        </w:rPr>
        <w:t>practices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</w:t>
      </w:r>
      <w:r w:rsidR="00EC1543" w:rsidRPr="00BF3213">
        <w:rPr>
          <w:rFonts w:ascii="Arial" w:hAnsi="Arial" w:cs="Arial"/>
          <w:b/>
          <w:color w:val="000000" w:themeColor="text1"/>
          <w:sz w:val="20"/>
          <w:lang w:eastAsia="zh-TW"/>
        </w:rPr>
        <w:t>described should cover</w:t>
      </w:r>
      <w:r w:rsidR="00916986"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</w:t>
      </w:r>
      <w:r w:rsidR="00511F16">
        <w:rPr>
          <w:rFonts w:ascii="Arial" w:hAnsi="Arial" w:cs="Arial"/>
          <w:b/>
          <w:color w:val="000000" w:themeColor="text1"/>
          <w:sz w:val="20"/>
          <w:lang w:eastAsia="zh-TW"/>
        </w:rPr>
        <w:t xml:space="preserve">all or any </w:t>
      </w:r>
      <w:r w:rsidR="00B8164C" w:rsidRPr="00BF3213">
        <w:rPr>
          <w:rFonts w:ascii="Arial" w:hAnsi="Arial" w:cs="Arial"/>
          <w:b/>
          <w:color w:val="000000" w:themeColor="text1"/>
          <w:sz w:val="20"/>
          <w:lang w:eastAsia="zh-TW"/>
        </w:rPr>
        <w:t>these</w:t>
      </w:r>
      <w:r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 particular areas </w:t>
      </w:r>
      <w:r w:rsidR="00B8164C" w:rsidRPr="00BF3213">
        <w:rPr>
          <w:rFonts w:ascii="Arial" w:hAnsi="Arial" w:cs="Arial"/>
          <w:b/>
          <w:color w:val="000000" w:themeColor="text1"/>
          <w:sz w:val="20"/>
          <w:lang w:eastAsia="zh-TW"/>
        </w:rPr>
        <w:t xml:space="preserve">of </w:t>
      </w:r>
      <w:r w:rsidR="00916986" w:rsidRPr="00BF3213">
        <w:rPr>
          <w:rFonts w:ascii="Arial" w:hAnsi="Arial" w:cs="Arial"/>
          <w:b/>
          <w:color w:val="000000" w:themeColor="text1"/>
          <w:sz w:val="20"/>
          <w:lang w:eastAsia="zh-TW"/>
        </w:rPr>
        <w:t>CG</w:t>
      </w:r>
      <w:r w:rsidR="009C5F64" w:rsidRPr="009C5F64">
        <w:rPr>
          <w:b/>
          <w:bCs/>
          <w:color w:val="000000" w:themeColor="text1"/>
          <w:lang w:eastAsia="zh-TW"/>
        </w:rPr>
        <w:t xml:space="preserve"> </w:t>
      </w:r>
      <w:r w:rsidR="009C5F64" w:rsidRPr="009C5F64">
        <w:rPr>
          <w:rFonts w:ascii="Arial" w:hAnsi="Arial" w:cs="Arial"/>
          <w:b/>
          <w:bCs/>
          <w:color w:val="000000" w:themeColor="text1"/>
          <w:sz w:val="20"/>
          <w:lang w:eastAsia="zh-TW"/>
        </w:rPr>
        <w:t>and/ or ESG</w:t>
      </w:r>
      <w:r w:rsidR="00B8164C" w:rsidRPr="00BF3213">
        <w:rPr>
          <w:rFonts w:ascii="Arial" w:hAnsi="Arial" w:cs="Arial"/>
          <w:bCs/>
          <w:color w:val="000000" w:themeColor="text1"/>
          <w:sz w:val="20"/>
        </w:rPr>
        <w:t xml:space="preserve">. 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   </w:t>
      </w:r>
      <w:r w:rsidR="006850BF">
        <w:rPr>
          <w:rFonts w:ascii="Arial" w:hAnsi="Arial" w:cs="Arial"/>
          <w:color w:val="000000" w:themeColor="text1"/>
          <w:sz w:val="20"/>
          <w:lang w:eastAsia="zh-TW"/>
        </w:rPr>
        <w:t xml:space="preserve"> </w:t>
      </w:r>
      <w:r w:rsidRPr="00BF3213">
        <w:rPr>
          <w:rFonts w:ascii="Arial" w:hAnsi="Arial" w:cs="Arial"/>
          <w:color w:val="000000" w:themeColor="text1"/>
          <w:sz w:val="20"/>
          <w:lang w:eastAsia="zh-TW"/>
        </w:rPr>
        <w:t xml:space="preserve">         </w:t>
      </w:r>
    </w:p>
    <w:p w:rsidR="00E325FE" w:rsidRPr="00BF3213" w:rsidRDefault="00E325FE" w:rsidP="008E2D31">
      <w:pPr>
        <w:jc w:val="both"/>
        <w:rPr>
          <w:rFonts w:ascii="Arial" w:hAnsi="Arial" w:cs="Arial"/>
          <w:color w:val="000000" w:themeColor="text1"/>
          <w:sz w:val="20"/>
          <w:lang w:eastAsia="zh-TW"/>
        </w:rPr>
      </w:pPr>
    </w:p>
    <w:p w:rsidR="009B2FF7" w:rsidRPr="00BF3213" w:rsidRDefault="006A5483" w:rsidP="008E2D31">
      <w:pPr>
        <w:jc w:val="both"/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</w:pPr>
      <w:r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CG </w:t>
      </w:r>
      <w:r w:rsidR="00A005EE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>e</w:t>
      </w:r>
      <w:r w:rsidR="008F45B5" w:rsidRPr="00BF3213">
        <w:rPr>
          <w:rFonts w:ascii="Arial" w:hAnsi="Arial" w:cs="Arial"/>
          <w:b/>
          <w:bCs/>
          <w:color w:val="000000" w:themeColor="text1"/>
          <w:sz w:val="20"/>
          <w:u w:val="single"/>
        </w:rPr>
        <w:t>xample</w:t>
      </w:r>
      <w:r w:rsidR="009B2FF7" w:rsidRPr="00BF3213">
        <w:rPr>
          <w:rFonts w:ascii="Arial" w:hAnsi="Arial" w:cs="Arial" w:hint="eastAsia"/>
          <w:b/>
          <w:bCs/>
          <w:color w:val="000000" w:themeColor="text1"/>
          <w:sz w:val="20"/>
          <w:u w:val="single"/>
          <w:lang w:eastAsia="zh-TW"/>
        </w:rPr>
        <w:t>s</w:t>
      </w:r>
      <w:r w:rsidR="00A005EE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 of the kind of information disclosures and practices that may be relevant</w:t>
      </w:r>
      <w:r w:rsidR="003F1DCE" w:rsidRPr="00BF3213">
        <w:rPr>
          <w:rFonts w:ascii="Arial" w:hAnsi="Arial" w:cs="Arial" w:hint="eastAsia"/>
          <w:b/>
          <w:bCs/>
          <w:color w:val="000000" w:themeColor="text1"/>
          <w:sz w:val="20"/>
          <w:u w:val="single"/>
          <w:lang w:eastAsia="zh-TW"/>
        </w:rPr>
        <w:t>:</w:t>
      </w:r>
    </w:p>
    <w:p w:rsidR="009B2FF7" w:rsidRPr="00BF3213" w:rsidRDefault="009B2FF7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ED5BE7" w:rsidRPr="00BF3213" w:rsidRDefault="00ED5BE7" w:rsidP="008E2D31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BF3213">
        <w:rPr>
          <w:rFonts w:ascii="Arial" w:hAnsi="Arial" w:cs="Arial" w:hint="eastAsia"/>
          <w:bCs/>
          <w:color w:val="000000" w:themeColor="text1"/>
          <w:sz w:val="20"/>
          <w:u w:val="single"/>
          <w:lang w:eastAsia="zh-TW"/>
        </w:rPr>
        <w:t>Risk management and internal control</w:t>
      </w:r>
    </w:p>
    <w:p w:rsidR="00ED5BE7" w:rsidRPr="00BF3213" w:rsidRDefault="00ED5BE7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A005EE" w:rsidRDefault="004F6626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annual report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disclosures discuss the main risks facing the company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854AF4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including ESG-related risks,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D5BE7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the likelihood of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="00ED5BE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significant</w:t>
      </w:r>
      <w:r w:rsidR="00ED5BE7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risks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occurring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and </w:t>
      </w:r>
      <w:r w:rsidR="006C24D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mitigation measures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taken</w:t>
      </w:r>
      <w:r w:rsidR="00A005E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to reduce the risks to an </w:t>
      </w:r>
      <w:r w:rsidR="00B64CB0">
        <w:rPr>
          <w:rFonts w:ascii="Arial" w:hAnsi="Arial" w:cs="Arial"/>
          <w:bCs/>
          <w:color w:val="000000" w:themeColor="text1"/>
          <w:sz w:val="20"/>
          <w:lang w:eastAsia="zh-TW"/>
        </w:rPr>
        <w:t>acceptable level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</w:p>
    <w:p w:rsidR="00A005EE" w:rsidRDefault="00A005EE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ED5BE7" w:rsidRPr="00BF3213" w:rsidRDefault="00A005EE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A005E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 </w:t>
      </w:r>
      <w:r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r</w:t>
      </w:r>
      <w:r w:rsidR="00EC1543"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easonable </w:t>
      </w:r>
      <w:r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amount of </w:t>
      </w:r>
      <w:r w:rsidR="00113335"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information</w:t>
      </w:r>
      <w:r w:rsidR="004F6626"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 is provided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D11A6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in the report </w:t>
      </w:r>
      <w:r w:rsidR="006C24D3">
        <w:rPr>
          <w:rFonts w:ascii="Arial" w:hAnsi="Arial" w:cs="Arial"/>
          <w:bCs/>
          <w:color w:val="000000" w:themeColor="text1"/>
          <w:sz w:val="20"/>
          <w:lang w:eastAsia="zh-TW"/>
        </w:rPr>
        <w:t>regarding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any 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internal control review</w:t>
      </w:r>
      <w:r w:rsidR="004F6626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conducted by the company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/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</w:t>
      </w:r>
      <w:r w:rsidR="00627CE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rganiz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ation</w:t>
      </w:r>
      <w:r w:rsidR="001C0F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during the year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 such as details of how the</w:t>
      </w:r>
      <w:r w:rsidR="004F6626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review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was conducted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, </w:t>
      </w:r>
      <w:r w:rsidR="005E3EC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and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whether there were any issues that needed to be </w:t>
      </w:r>
      <w:r w:rsidR="00B8164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addressed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and</w:t>
      </w:r>
      <w:r w:rsidR="005E3EC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 if so,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how these were</w:t>
      </w:r>
      <w:r w:rsidR="00113335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dealt with. </w:t>
      </w:r>
      <w:r w:rsidR="00B8164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 </w:t>
      </w:r>
      <w:r w:rsidR="00ED5BE7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</w:t>
      </w:r>
    </w:p>
    <w:p w:rsidR="00ED5BE7" w:rsidRPr="00BF3213" w:rsidRDefault="00ED5BE7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511F16" w:rsidRDefault="00BC4904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BF3213">
        <w:rPr>
          <w:rFonts w:ascii="Arial" w:hAnsi="Arial" w:cs="Arial" w:hint="eastAsia"/>
          <w:bCs/>
          <w:color w:val="000000" w:themeColor="text1"/>
          <w:sz w:val="20"/>
          <w:u w:val="single"/>
          <w:lang w:eastAsia="zh-TW"/>
        </w:rPr>
        <w:t xml:space="preserve">Board </w:t>
      </w:r>
      <w:r w:rsidRPr="00BF321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diversity</w:t>
      </w:r>
      <w:r w:rsidR="009A1A81" w:rsidRPr="00BF321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 </w:t>
      </w:r>
    </w:p>
    <w:p w:rsidR="00511F16" w:rsidRDefault="00511F16" w:rsidP="00511F1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511F16" w:rsidRPr="00BF3213" w:rsidRDefault="00511F16" w:rsidP="00511F1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Measurable 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>objectives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have been introduced by the company/ organization in terms of increasing board diversity, taking into account factors such as </w:t>
      </w:r>
      <w:r w:rsidRPr="00BF3213">
        <w:rPr>
          <w:rStyle w:val="Emphasis"/>
          <w:rFonts w:ascii="Arial" w:hAnsi="Arial" w:cs="Arial"/>
          <w:i w:val="0"/>
          <w:color w:val="000000" w:themeColor="text1"/>
          <w:sz w:val="20"/>
          <w:shd w:val="clear" w:color="auto" w:fill="FFFFFF"/>
        </w:rPr>
        <w:t>gender, age, cultural and educational background, or professional experience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  <w:r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The disclosures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indicate substantive progress toward achieving the targets, </w:t>
      </w:r>
      <w:r w:rsidR="00C5208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explain the reasons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for any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variance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s and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proposed measures to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help 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meet the targets in future. </w:t>
      </w:r>
    </w:p>
    <w:p w:rsidR="00511F16" w:rsidRPr="0044058B" w:rsidRDefault="00511F16" w:rsidP="0044058B">
      <w:pPr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246356" w:rsidRPr="00BF3213" w:rsidRDefault="00511F16" w:rsidP="008E2D31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N</w:t>
      </w:r>
      <w:r w:rsidR="004467B4" w:rsidRPr="00BF321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omination</w:t>
      </w:r>
      <w:r w:rsidR="009A1A81" w:rsidRPr="00BF321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 process</w:t>
      </w:r>
      <w:r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 and independent non-executive directors  </w:t>
      </w:r>
    </w:p>
    <w:p w:rsidR="00EC1543" w:rsidRPr="0044058B" w:rsidRDefault="00EC1543" w:rsidP="0044058B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EF20DF" w:rsidRPr="00BF3213" w:rsidRDefault="00511F16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>
        <w:rPr>
          <w:rFonts w:ascii="Arial" w:hAnsi="Arial" w:cs="Arial"/>
          <w:bCs/>
          <w:color w:val="000000" w:themeColor="text1"/>
          <w:sz w:val="20"/>
          <w:lang w:eastAsia="zh-TW"/>
        </w:rPr>
        <w:t>The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company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/</w:t>
      </w:r>
      <w:r w:rsid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</w:t>
      </w:r>
      <w:r w:rsidR="00627CE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rganiz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ation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6C24D3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has</w:t>
      </w:r>
      <w:r w:rsidR="004467B4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disclosed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more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details 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about the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criteria and process 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for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nomination </w:t>
      </w:r>
      <w:r w:rsidR="00B651B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of </w:t>
      </w:r>
      <w:r w:rsidR="00953C7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directors, 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described 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particular 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skills and experience t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hat 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newly-appointed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directors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 including independent non-executive directors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(“INEDs”)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bring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to the board. </w:t>
      </w:r>
    </w:p>
    <w:p w:rsidR="00EF20DF" w:rsidRPr="00A005EE" w:rsidRDefault="00EF20DF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BC4904" w:rsidRPr="00BF3213" w:rsidRDefault="00D11A67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It is disclosed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that t</w:t>
      </w:r>
      <w:r w:rsidR="00EF20D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he company/</w:t>
      </w:r>
      <w:r w:rsid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F20D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organization has strengthened the independent element o</w:t>
      </w:r>
      <w:r w:rsidR="00A005EE">
        <w:rPr>
          <w:rFonts w:ascii="Arial" w:hAnsi="Arial" w:cs="Arial"/>
          <w:bCs/>
          <w:color w:val="000000" w:themeColor="text1"/>
          <w:sz w:val="20"/>
          <w:lang w:eastAsia="zh-TW"/>
        </w:rPr>
        <w:t>n</w:t>
      </w:r>
      <w:r w:rsidR="00EF20D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the board by adding more INEDs beyond the minimum requirement, and </w:t>
      </w:r>
      <w:r w:rsidR="00A005E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company/</w:t>
      </w:r>
      <w:r w:rsidR="00A005E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A005E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organization </w:t>
      </w:r>
      <w:r w:rsidR="00EF20D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has explained what the new INEDs bring to the board, as well as the role and contribution to the board and committees of INEDs generally.     </w:t>
      </w:r>
      <w:r w:rsidR="004467B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   </w:t>
      </w:r>
    </w:p>
    <w:p w:rsidR="00BC4904" w:rsidRPr="00BF3213" w:rsidRDefault="00BC4904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9B2FF7" w:rsidRPr="00BF3213" w:rsidRDefault="009B2FF7" w:rsidP="008E2D31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BF3213">
        <w:rPr>
          <w:rFonts w:ascii="Arial" w:hAnsi="Arial" w:cs="Arial" w:hint="eastAsia"/>
          <w:bCs/>
          <w:color w:val="000000" w:themeColor="text1"/>
          <w:sz w:val="20"/>
          <w:u w:val="single"/>
          <w:lang w:eastAsia="zh-TW"/>
        </w:rPr>
        <w:t>Board</w:t>
      </w:r>
      <w:r w:rsidR="00246356" w:rsidRPr="00BF3213">
        <w:rPr>
          <w:rFonts w:ascii="Arial" w:hAnsi="Arial" w:cs="Arial" w:hint="eastAsia"/>
          <w:bCs/>
          <w:color w:val="000000" w:themeColor="text1"/>
          <w:sz w:val="20"/>
          <w:u w:val="single"/>
          <w:lang w:eastAsia="zh-TW"/>
        </w:rPr>
        <w:t xml:space="preserve"> evaluation</w:t>
      </w:r>
    </w:p>
    <w:p w:rsidR="009B2FF7" w:rsidRPr="00BF3213" w:rsidRDefault="009B2FF7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7902E5" w:rsidRPr="00BF3213" w:rsidRDefault="007902E5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 </w:t>
      </w:r>
      <w:r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formal board evaluation </w:t>
      </w:r>
      <w:r w:rsidR="0072730A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process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has been introduced</w:t>
      </w:r>
      <w:r w:rsidR="0072730A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,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</w:t>
      </w:r>
      <w:r w:rsidR="0096631D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</w:t>
      </w:r>
      <w:r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disclos</w:t>
      </w:r>
      <w:r w:rsidR="0096631D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ures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indicate </w:t>
      </w:r>
      <w:r w:rsidR="000A16A1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how the evaluation </w:t>
      </w:r>
      <w:r w:rsidR="00C8198C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was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conducted. This may include information 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such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as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whether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it was 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conducted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internal</w:t>
      </w:r>
      <w:r w:rsidR="0096267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ly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(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e.g.,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by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the chairman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and/ 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or others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)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the format (e.g.,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 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questionnaire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 interviews</w:t>
      </w:r>
      <w:r w:rsidR="000C57BB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 etc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.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)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or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whether,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instead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lastRenderedPageBreak/>
        <w:t>external consultants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were engaged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. Other matters covered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could be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whether the evaluation looked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only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board performance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as </w:t>
      </w:r>
      <w:r w:rsidR="001565C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whole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or also the perfo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rmance of individual directors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EC1543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whether a report was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produced with recommendations for 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follow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-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up</w:t>
      </w:r>
      <w:r w:rsidR="00E41420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actions after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the evaluation</w:t>
      </w:r>
      <w:r w:rsidR="00E1134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</w:p>
    <w:p w:rsidR="007902E5" w:rsidRPr="00BF3213" w:rsidRDefault="007902E5" w:rsidP="008E2D31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8E2D31" w:rsidRPr="00BF3213" w:rsidRDefault="00E11347" w:rsidP="00BF3213">
      <w:pPr>
        <w:ind w:left="48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Where a</w:t>
      </w:r>
      <w:r w:rsidR="006C3E01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board assessment 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process </w:t>
      </w:r>
      <w:r w:rsidR="00511F16">
        <w:rPr>
          <w:rFonts w:ascii="Arial" w:hAnsi="Arial" w:cs="Arial"/>
          <w:bCs/>
          <w:color w:val="000000" w:themeColor="text1"/>
          <w:sz w:val="20"/>
          <w:lang w:eastAsia="zh-TW"/>
        </w:rPr>
        <w:t>i</w:t>
      </w:r>
      <w:r w:rsidR="006C3E01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>s already</w:t>
      </w:r>
      <w:r w:rsidR="0049414A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 xml:space="preserve"> in place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,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the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company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/</w:t>
      </w:r>
      <w:r w:rsidR="00ED5A0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</w:t>
      </w:r>
      <w:r w:rsidR="00627CE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rganiz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ation 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may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F5260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have </w:t>
      </w:r>
      <w:r w:rsidR="001565C7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provide</w:t>
      </w:r>
      <w:r w:rsidR="00F5260F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d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information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on any substantive enhancements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made to the process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, e.g., </w:t>
      </w:r>
      <w:r w:rsidR="000E73B2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adding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an </w:t>
      </w:r>
      <w:r w:rsidR="0049414A" w:rsidRPr="00BF3213">
        <w:rPr>
          <w:rFonts w:ascii="Arial" w:hAnsi="Arial" w:cs="Arial" w:hint="eastAsia"/>
          <w:bCs/>
          <w:color w:val="000000" w:themeColor="text1"/>
          <w:sz w:val="20"/>
          <w:lang w:eastAsia="zh-TW"/>
        </w:rPr>
        <w:t>evaluation of individual directors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' performance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for the first time,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or </w:t>
      </w:r>
      <w:r w:rsidR="0096631D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engaging</w:t>
      </w:r>
      <w:r w:rsidR="006C3E0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qualified external third parties to assist with the evaluation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; </w:t>
      </w:r>
      <w:r w:rsidR="00C8198C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and/</w:t>
      </w:r>
      <w:r w:rsid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or </w:t>
      </w:r>
      <w:r w:rsidR="006C24D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 explanation may be provided of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the recommendations that arose from a previous evaluation </w:t>
      </w:r>
      <w:r w:rsidR="006C24D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with a description of 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how these </w:t>
      </w:r>
      <w:r w:rsidR="006C24D3">
        <w:rPr>
          <w:rFonts w:ascii="Arial" w:hAnsi="Arial" w:cs="Arial"/>
          <w:bCs/>
          <w:color w:val="000000" w:themeColor="text1"/>
          <w:sz w:val="20"/>
          <w:lang w:eastAsia="zh-TW"/>
        </w:rPr>
        <w:t>have been</w:t>
      </w:r>
      <w:r w:rsidR="0054463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followed up.   </w:t>
      </w:r>
    </w:p>
    <w:p w:rsidR="00D3493F" w:rsidRPr="00BF3213" w:rsidRDefault="00D3493F" w:rsidP="008E2D31">
      <w:pPr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9B2FF7" w:rsidRPr="00BF3213" w:rsidRDefault="009B2FF7" w:rsidP="008E2D31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BF3213">
        <w:rPr>
          <w:rFonts w:ascii="Arial" w:hAnsi="Arial" w:cs="Arial" w:hint="eastAsia"/>
          <w:bCs/>
          <w:color w:val="000000" w:themeColor="text1"/>
          <w:sz w:val="20"/>
          <w:u w:val="single"/>
          <w:lang w:eastAsia="zh-TW"/>
        </w:rPr>
        <w:t>Disclosure of remuneration</w:t>
      </w:r>
    </w:p>
    <w:p w:rsidR="009B2FF7" w:rsidRPr="00BF3213" w:rsidRDefault="009B2FF7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F5260F" w:rsidRPr="00BF3213" w:rsidRDefault="005A632F" w:rsidP="008E2D31">
      <w:pPr>
        <w:ind w:left="48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</w:t>
      </w:r>
      <w:r w:rsidR="00CF02E4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he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report includes a 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>reasonabl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e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discuss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ion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of the</w:t>
      </w:r>
      <w:r w:rsidR="00277B0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basis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for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determin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ing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277B0A" w:rsidRPr="00277B0A">
        <w:rPr>
          <w:rFonts w:ascii="Arial" w:hAnsi="Arial" w:cs="Arial"/>
          <w:bCs/>
          <w:color w:val="000000" w:themeColor="text1"/>
          <w:sz w:val="20"/>
          <w:lang w:eastAsia="zh-TW"/>
        </w:rPr>
        <w:t>directors’ emoluments (fees, salaries and other benefits)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, together with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an indication of any</w:t>
      </w:r>
      <w:r w:rsidR="007B16CB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relevant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="007B16CB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performance-related </w:t>
      </w:r>
      <w:r w:rsidR="007B16CB">
        <w:rPr>
          <w:rFonts w:ascii="Arial" w:hAnsi="Arial" w:cs="Arial"/>
          <w:bCs/>
          <w:color w:val="000000" w:themeColor="text1"/>
          <w:sz w:val="20"/>
          <w:lang w:eastAsia="zh-TW"/>
        </w:rPr>
        <w:t>KPIs.</w:t>
      </w:r>
      <w:r w:rsidR="00E8153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>D</w:t>
      </w:r>
      <w:r w:rsidR="00E8153A" w:rsidRPr="00E8153A">
        <w:rPr>
          <w:rFonts w:ascii="Arial" w:hAnsi="Arial" w:cs="Arial"/>
          <w:bCs/>
          <w:color w:val="000000" w:themeColor="text1"/>
          <w:sz w:val="20"/>
          <w:lang w:eastAsia="zh-TW"/>
        </w:rPr>
        <w:t>etails of remuneration payable to senior management on an individual and named basis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is disclosed</w:t>
      </w:r>
      <w:r w:rsidR="00C14FF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  <w:r w:rsidR="00E8153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</w:p>
    <w:p w:rsidR="00F5260F" w:rsidRDefault="00F5260F" w:rsidP="008E2D31">
      <w:pPr>
        <w:ind w:left="48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6A5483" w:rsidRPr="0044058B" w:rsidRDefault="006A5483" w:rsidP="008E2D31">
      <w:pPr>
        <w:jc w:val="both"/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</w:pPr>
      <w:r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ESG </w:t>
      </w:r>
      <w:r w:rsidR="000F1D27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>e</w:t>
      </w:r>
      <w:r w:rsidRPr="00BF3213">
        <w:rPr>
          <w:rFonts w:ascii="Arial" w:hAnsi="Arial" w:cs="Arial"/>
          <w:b/>
          <w:bCs/>
          <w:color w:val="000000" w:themeColor="text1"/>
          <w:sz w:val="20"/>
          <w:u w:val="single"/>
        </w:rPr>
        <w:t>xample</w:t>
      </w:r>
      <w:r w:rsidRPr="00BF3213">
        <w:rPr>
          <w:rFonts w:ascii="Arial" w:hAnsi="Arial" w:cs="Arial" w:hint="eastAsia"/>
          <w:b/>
          <w:bCs/>
          <w:color w:val="000000" w:themeColor="text1"/>
          <w:sz w:val="20"/>
          <w:u w:val="single"/>
          <w:lang w:eastAsia="zh-TW"/>
        </w:rPr>
        <w:t>s</w:t>
      </w:r>
      <w:r w:rsidR="000F1D27" w:rsidRPr="000F1D27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 </w:t>
      </w:r>
      <w:r w:rsidR="000F1D27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>of the kind of information disclosures and practices that may be relevant</w:t>
      </w:r>
      <w:r w:rsidRPr="00BF3213">
        <w:rPr>
          <w:rFonts w:ascii="Arial" w:hAnsi="Arial" w:cs="Arial" w:hint="eastAsia"/>
          <w:b/>
          <w:bCs/>
          <w:color w:val="000000" w:themeColor="text1"/>
          <w:sz w:val="20"/>
          <w:u w:val="single"/>
          <w:lang w:eastAsia="zh-TW"/>
        </w:rPr>
        <w:t>:</w:t>
      </w:r>
    </w:p>
    <w:p w:rsidR="006A5483" w:rsidRDefault="006A5483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511F16" w:rsidRPr="0044058B" w:rsidRDefault="00511F16" w:rsidP="003A59C6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 xml:space="preserve">Governance </w:t>
      </w:r>
    </w:p>
    <w:p w:rsidR="00511F16" w:rsidRDefault="00511F16" w:rsidP="0044058B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</w:p>
    <w:p w:rsidR="00511F16" w:rsidRDefault="00511F16" w:rsidP="0044058B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D11A67">
        <w:rPr>
          <w:rFonts w:ascii="Arial" w:hAnsi="Arial" w:cs="Arial"/>
          <w:bCs/>
          <w:color w:val="000000" w:themeColor="text1"/>
          <w:sz w:val="20"/>
          <w:lang w:eastAsia="zh-TW"/>
        </w:rPr>
        <w:t>The company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/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organization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9F1880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disclose</w:t>
      </w:r>
      <w:r w:rsidR="00C52086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s</w:t>
      </w:r>
      <w:r w:rsidR="009F1880" w:rsidRP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clear top-level commitment to good ESG strategies, policies and practices, with high-level policy-making and accountability</w:t>
      </w:r>
      <w:r w:rsidR="002D0179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at the board level</w:t>
      </w:r>
      <w:r w:rsidR="002D0179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and </w:t>
      </w:r>
      <w:r w:rsidR="002D0179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 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clear ESG governance structure to monitor, implement and report on ESG</w:t>
      </w:r>
      <w:r w:rsidR="002D0179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performance.</w:t>
      </w:r>
      <w:r w:rsidR="00854AF4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In addition, a process is in place to identify, assess and manage ESG-related risks and opportunities. </w:t>
      </w:r>
      <w:r w:rsidR="002D0179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       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   </w:t>
      </w:r>
    </w:p>
    <w:p w:rsidR="00511F16" w:rsidRPr="0044058B" w:rsidRDefault="00511F16" w:rsidP="0044058B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D00A70" w:rsidRPr="009B7B83" w:rsidRDefault="006A5483" w:rsidP="0044058B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</w:pPr>
      <w:r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Report content</w:t>
      </w:r>
    </w:p>
    <w:p w:rsidR="00D00A70" w:rsidRPr="0044058B" w:rsidRDefault="00D00A70" w:rsidP="0044058B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564C53" w:rsidRDefault="00564C53" w:rsidP="00854AF4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Materiality assessment: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The ESG/ sustainability report provides clear</w:t>
      </w:r>
      <w:r w:rsidR="000F1D27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disclosure</w:t>
      </w:r>
      <w:r w:rsidR="000F1D27" w:rsidRP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0F1D27" w:rsidRPr="00D00A70">
        <w:rPr>
          <w:rFonts w:ascii="Arial" w:hAnsi="Arial" w:cs="Arial"/>
          <w:bCs/>
          <w:color w:val="000000" w:themeColor="text1"/>
          <w:sz w:val="20"/>
          <w:lang w:eastAsia="zh-TW"/>
        </w:rPr>
        <w:t>of the materiality assessment process for the selection of material ESG factors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, 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and 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>whether a materiality assessment or update has been conducted durin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g the year and, if so, any changes</w:t>
      </w:r>
      <w:r w:rsidR="000F1D2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since the previous exercise. </w:t>
      </w:r>
    </w:p>
    <w:p w:rsidR="00564C53" w:rsidRDefault="00564C53" w:rsidP="00854AF4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D00A70" w:rsidRDefault="00854AF4" w:rsidP="00854AF4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Stakeholder inclusiveness: </w:t>
      </w:r>
      <w:r w:rsidRPr="00854AF4">
        <w:rPr>
          <w:rFonts w:ascii="Arial" w:hAnsi="Arial" w:cs="Arial"/>
          <w:bCs/>
          <w:color w:val="000000" w:themeColor="text1"/>
          <w:sz w:val="20"/>
          <w:lang w:eastAsia="zh-TW"/>
        </w:rPr>
        <w:t>The key stakeholders (e.g., employees, shareholders, suppliers, vulnerable groups within local community), whose interests have been affected, are identified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. The</w:t>
      </w:r>
      <w:r w:rsidRPr="00854AF4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564C5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report explains how the </w:t>
      </w:r>
      <w:r w:rsidRPr="00D11A67">
        <w:rPr>
          <w:rFonts w:ascii="Arial" w:hAnsi="Arial" w:cs="Arial"/>
          <w:bCs/>
          <w:color w:val="000000" w:themeColor="text1"/>
          <w:sz w:val="20"/>
          <w:lang w:eastAsia="zh-TW"/>
        </w:rPr>
        <w:t>company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/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organization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Pr="00854AF4">
        <w:rPr>
          <w:rFonts w:ascii="Arial" w:hAnsi="Arial" w:cs="Arial"/>
          <w:bCs/>
          <w:color w:val="000000" w:themeColor="text1"/>
          <w:sz w:val="20"/>
          <w:lang w:eastAsia="zh-TW"/>
        </w:rPr>
        <w:t>has responded to their reasonable expectations/ interests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.</w:t>
      </w:r>
    </w:p>
    <w:p w:rsidR="00854AF4" w:rsidRDefault="00854AF4" w:rsidP="00854AF4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854AF4" w:rsidRPr="00854AF4" w:rsidRDefault="00854AF4" w:rsidP="009B7B83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854AF4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Balance: The report includes information in an unbiased way, </w:t>
      </w:r>
      <w:r w:rsidR="00564C53">
        <w:rPr>
          <w:rFonts w:ascii="Arial" w:hAnsi="Arial" w:cs="Arial"/>
          <w:bCs/>
          <w:color w:val="000000" w:themeColor="text1"/>
          <w:sz w:val="20"/>
          <w:lang w:eastAsia="zh-TW"/>
        </w:rPr>
        <w:t>and</w:t>
      </w:r>
      <w:r w:rsidRPr="00854AF4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 fair representation of the organization’s negative and positive impacts is provided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>.</w:t>
      </w:r>
    </w:p>
    <w:p w:rsidR="00854AF4" w:rsidRPr="00854AF4" w:rsidRDefault="00854AF4" w:rsidP="00854AF4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9C5F64" w:rsidRPr="003A59C6" w:rsidRDefault="006850BF" w:rsidP="003A59C6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6850BF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K</w:t>
      </w:r>
      <w:r w:rsidR="009C5F64" w:rsidRPr="003A59C6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ey performance indicators</w:t>
      </w:r>
    </w:p>
    <w:p w:rsidR="006850BF" w:rsidRPr="006850BF" w:rsidRDefault="006850BF" w:rsidP="003A59C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647A6E" w:rsidRDefault="00647A6E" w:rsidP="003A59C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>The company/organization has disclosed actual social and environmental statistics for the current and prior years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,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clearly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indicating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any 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>relevant changes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between the current and prior years and whether there has been any change in the basis of comparison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</w:p>
    <w:p w:rsidR="00647A6E" w:rsidRDefault="00647A6E" w:rsidP="003A59C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9C5F64" w:rsidRDefault="00647A6E" w:rsidP="003A59C6">
      <w:pPr>
        <w:pStyle w:val="ListParagraph"/>
        <w:ind w:leftChars="0"/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In addition, realistic short-term and challenging but attainable mid- to long-term </w:t>
      </w:r>
      <w:r w:rsidRPr="009B7B83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>quantitative performance targets</w:t>
      </w:r>
      <w:r w:rsidR="00806687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 </w:t>
      </w:r>
      <w:r w:rsidR="00806687" w:rsidRPr="009B7B83">
        <w:rPr>
          <w:rFonts w:ascii="Arial" w:hAnsi="Arial" w:cs="Arial"/>
          <w:bCs/>
          <w:color w:val="000000" w:themeColor="text1"/>
          <w:sz w:val="20"/>
          <w:u w:val="single"/>
          <w:lang w:eastAsia="zh-TW"/>
        </w:rPr>
        <w:t>for aspects that are material to the</w:t>
      </w:r>
      <w:r w:rsidR="00806687">
        <w:rPr>
          <w:rFonts w:ascii="Arial" w:hAnsi="Arial" w:cs="Arial"/>
          <w:b/>
          <w:bCs/>
          <w:color w:val="000000" w:themeColor="text1"/>
          <w:sz w:val="20"/>
          <w:u w:val="single"/>
          <w:lang w:eastAsia="zh-TW"/>
        </w:rPr>
        <w:t xml:space="preserve"> </w:t>
      </w:r>
      <w:r w:rsidR="00806687" w:rsidRPr="00647A6E">
        <w:rPr>
          <w:rFonts w:ascii="Arial" w:hAnsi="Arial" w:cs="Arial"/>
          <w:bCs/>
          <w:color w:val="000000" w:themeColor="text1"/>
          <w:sz w:val="20"/>
          <w:lang w:eastAsia="zh-TW"/>
        </w:rPr>
        <w:t>company/organization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(e.g., greenhouse gas</w:t>
      </w:r>
      <w:r w:rsidRPr="00647A6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emission targets, should be set, supported by specific progress and actions taken toward meeting these goals.</w:t>
      </w:r>
      <w:r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Where the targets are not met, </w:t>
      </w:r>
      <w:r w:rsidR="003D70B6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the company/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3D70B6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organization </w:t>
      </w:r>
      <w:r w:rsidR="001D387F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has explained and </w:t>
      </w:r>
      <w:r w:rsidR="003D70B6" w:rsidRPr="009B7B83">
        <w:rPr>
          <w:rFonts w:ascii="Arial" w:hAnsi="Arial" w:cs="Arial"/>
          <w:bCs/>
          <w:color w:val="000000" w:themeColor="text1"/>
          <w:sz w:val="20"/>
          <w:lang w:eastAsia="zh-TW"/>
        </w:rPr>
        <w:t>indicated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5F627A" w:rsidRPr="005F627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what specific actions they will take to 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put the entity back on track. If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interim</w:t>
      </w:r>
      <w:r w:rsidR="005F627A" w:rsidRPr="005F627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6A5483">
        <w:rPr>
          <w:rFonts w:ascii="Arial" w:hAnsi="Arial" w:cs="Arial"/>
          <w:bCs/>
          <w:color w:val="000000" w:themeColor="text1"/>
          <w:sz w:val="20"/>
          <w:lang w:eastAsia="zh-TW"/>
        </w:rPr>
        <w:t>targets</w:t>
      </w:r>
      <w:r w:rsidR="001D387F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6A54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have </w:t>
      </w:r>
      <w:r w:rsidR="005F627A" w:rsidRPr="005F627A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already </w:t>
      </w:r>
      <w:r w:rsidR="006A54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been </w:t>
      </w:r>
      <w:r w:rsidR="005F627A" w:rsidRPr="005F627A">
        <w:rPr>
          <w:rFonts w:ascii="Arial" w:hAnsi="Arial" w:cs="Arial"/>
          <w:bCs/>
          <w:color w:val="000000" w:themeColor="text1"/>
          <w:sz w:val="20"/>
          <w:lang w:eastAsia="zh-TW"/>
        </w:rPr>
        <w:t>met</w:t>
      </w:r>
      <w:r w:rsidR="006A548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ahead of time</w:t>
      </w:r>
      <w:r w:rsidR="008D1454">
        <w:rPr>
          <w:rFonts w:ascii="Arial" w:hAnsi="Arial" w:cs="Arial"/>
          <w:bCs/>
          <w:color w:val="000000" w:themeColor="text1"/>
          <w:sz w:val="20"/>
          <w:lang w:eastAsia="zh-TW"/>
        </w:rPr>
        <w:t>, new targets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may be established for the</w:t>
      </w:r>
      <w:r w:rsidR="005B49DE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company/organization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to </w:t>
      </w:r>
      <w:r w:rsidR="00806687">
        <w:rPr>
          <w:rFonts w:ascii="Arial" w:hAnsi="Arial" w:cs="Arial"/>
          <w:bCs/>
          <w:color w:val="000000" w:themeColor="text1"/>
          <w:sz w:val="20"/>
          <w:lang w:eastAsia="zh-TW"/>
        </w:rPr>
        <w:t>attain</w:t>
      </w:r>
      <w:r w:rsidR="003D70B6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</w:p>
    <w:p w:rsidR="009C5F64" w:rsidRPr="00BF3213" w:rsidRDefault="009C5F64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8F45B5" w:rsidRPr="00BF3213" w:rsidRDefault="00C8198C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Companies/</w:t>
      </w:r>
      <w:r w:rsidR="00ED5A08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Pr="00BF3213">
        <w:rPr>
          <w:rFonts w:ascii="Arial" w:hAnsi="Arial" w:cs="Arial"/>
          <w:bCs/>
          <w:color w:val="000000" w:themeColor="text1"/>
          <w:sz w:val="20"/>
        </w:rPr>
        <w:t>o</w:t>
      </w:r>
      <w:r w:rsidR="00627CEF" w:rsidRPr="00BF3213">
        <w:rPr>
          <w:rFonts w:ascii="Arial" w:hAnsi="Arial" w:cs="Arial"/>
          <w:bCs/>
          <w:color w:val="000000" w:themeColor="text1"/>
          <w:sz w:val="20"/>
        </w:rPr>
        <w:t>rganiz</w:t>
      </w:r>
      <w:r w:rsidR="00BB281E" w:rsidRPr="00BF3213">
        <w:rPr>
          <w:rFonts w:ascii="Arial" w:hAnsi="Arial" w:cs="Arial"/>
          <w:bCs/>
          <w:color w:val="000000" w:themeColor="text1"/>
          <w:sz w:val="20"/>
        </w:rPr>
        <w:t>ation</w:t>
      </w:r>
      <w:r w:rsidRPr="00BF3213">
        <w:rPr>
          <w:rFonts w:ascii="Arial" w:hAnsi="Arial" w:cs="Arial"/>
          <w:bCs/>
          <w:color w:val="000000" w:themeColor="text1"/>
          <w:sz w:val="20"/>
        </w:rPr>
        <w:t>s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BB281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should aim to 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>highlight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the</w:t>
      </w:r>
      <w:r w:rsidR="009F1880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BB281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relevant references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>in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their annual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or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ESG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>/ sustainability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reports </w:t>
      </w:r>
      <w:r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to support their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submission for consideration for a </w:t>
      </w:r>
      <w:r w:rsidR="009A1A81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>self-nomination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award</w:t>
      </w:r>
      <w:r w:rsidR="00F01EAE" w:rsidRPr="00BF3213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. 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>Please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note that you are not required to provide supplementary </w:t>
      </w:r>
      <w:r w:rsidR="00C52086">
        <w:rPr>
          <w:rFonts w:ascii="Arial" w:hAnsi="Arial" w:cs="Arial"/>
          <w:bCs/>
          <w:color w:val="000000" w:themeColor="text1"/>
          <w:sz w:val="20"/>
          <w:lang w:eastAsia="zh-TW"/>
        </w:rPr>
        <w:t>documents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beyond the disclosures </w:t>
      </w:r>
      <w:r w:rsidR="007C2491">
        <w:rPr>
          <w:rFonts w:ascii="Arial" w:hAnsi="Arial" w:cs="Arial"/>
          <w:bCs/>
          <w:color w:val="000000" w:themeColor="text1"/>
          <w:sz w:val="20"/>
          <w:lang w:eastAsia="zh-TW"/>
        </w:rPr>
        <w:t>in</w:t>
      </w:r>
      <w:r w:rsidR="009F1880">
        <w:rPr>
          <w:rFonts w:ascii="Arial" w:hAnsi="Arial" w:cs="Arial"/>
          <w:bCs/>
          <w:color w:val="000000" w:themeColor="text1"/>
          <w:sz w:val="20"/>
          <w:lang w:eastAsia="zh-TW"/>
        </w:rPr>
        <w:t xml:space="preserve"> the relevant reports. </w:t>
      </w:r>
    </w:p>
    <w:p w:rsidR="00DA26D5" w:rsidRPr="00BF3213" w:rsidRDefault="00DA26D5" w:rsidP="008E2D31">
      <w:pPr>
        <w:jc w:val="both"/>
        <w:rPr>
          <w:rFonts w:ascii="Arial" w:hAnsi="Arial" w:cs="Arial"/>
          <w:bCs/>
          <w:color w:val="000000" w:themeColor="text1"/>
          <w:sz w:val="20"/>
          <w:lang w:eastAsia="zh-TW"/>
        </w:rPr>
      </w:pPr>
    </w:p>
    <w:p w:rsidR="00DA26D5" w:rsidRPr="00BF3213" w:rsidRDefault="004B3105" w:rsidP="008E2D31">
      <w:pPr>
        <w:jc w:val="both"/>
        <w:rPr>
          <w:rFonts w:ascii="Arial" w:hAnsi="Arial" w:cs="Arial"/>
          <w:b/>
          <w:bCs/>
          <w:color w:val="000000" w:themeColor="text1"/>
          <w:sz w:val="20"/>
          <w:lang w:eastAsia="zh-TW"/>
        </w:rPr>
      </w:pPr>
      <w:r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Please </w:t>
      </w:r>
      <w:r w:rsidR="009F1880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also </w:t>
      </w:r>
      <w:r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note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that the focus is primarily on voluntary CG</w:t>
      </w:r>
      <w:r w:rsidR="005B49DE" w:rsidRPr="005B49DE">
        <w:t xml:space="preserve"> </w:t>
      </w:r>
      <w:r w:rsidR="005B49DE" w:rsidRPr="005B49DE">
        <w:rPr>
          <w:rFonts w:ascii="Arial" w:hAnsi="Arial" w:cs="Arial"/>
          <w:b/>
          <w:bCs/>
          <w:color w:val="000000" w:themeColor="text1"/>
          <w:sz w:val="20"/>
          <w:lang w:eastAsia="zh-TW"/>
        </w:rPr>
        <w:t>and/ or ESG</w:t>
      </w:r>
      <w:r w:rsidR="00F5260F" w:rsidRPr="005B49DE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practices that exceed basic compliance with the regulatory requirements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.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</w:t>
      </w:r>
      <w:r w:rsidR="006C24D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As such,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descriptions of new or expanded disclosures 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and practices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that are 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essentially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</w:t>
      </w:r>
      <w:r w:rsidR="007C2491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just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the result of implementing new legal or regulatory requirements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</w:t>
      </w:r>
      <w:r w:rsidR="006C24D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are unlikely to be sufficient, 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by themselves</w:t>
      </w:r>
      <w:r w:rsidR="006C24D3">
        <w:rPr>
          <w:rFonts w:ascii="Arial" w:hAnsi="Arial" w:cs="Arial"/>
          <w:b/>
          <w:bCs/>
          <w:color w:val="000000" w:themeColor="text1"/>
          <w:sz w:val="20"/>
          <w:lang w:eastAsia="zh-TW"/>
        </w:rPr>
        <w:t>,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</w:t>
      </w:r>
      <w:r w:rsidR="00F5260F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to be considered </w:t>
      </w:r>
      <w:r w:rsidR="00263F81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for </w:t>
      </w:r>
      <w:r w:rsidR="003A0686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>an award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, even though </w:t>
      </w:r>
      <w:r w:rsidR="006C24D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they </w:t>
      </w:r>
      <w:r w:rsidR="00ED5A08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may improve a company's/ organization's </w:t>
      </w:r>
      <w:r w:rsidR="00BF3213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standard of </w:t>
      </w:r>
      <w:r w:rsidR="00ED5A08" w:rsidRPr="002D0179">
        <w:rPr>
          <w:rFonts w:ascii="Arial" w:hAnsi="Arial" w:cs="Arial"/>
          <w:b/>
          <w:bCs/>
          <w:color w:val="000000" w:themeColor="text1"/>
          <w:sz w:val="20"/>
          <w:lang w:eastAsia="zh-TW"/>
        </w:rPr>
        <w:t>CG</w:t>
      </w:r>
      <w:r w:rsidR="005B49DE" w:rsidRPr="0044058B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and/ or ESG</w:t>
      </w:r>
      <w:r w:rsidR="00DA26D5" w:rsidRPr="002D0179">
        <w:rPr>
          <w:rFonts w:ascii="Arial" w:hAnsi="Arial" w:cs="Arial"/>
          <w:b/>
          <w:bCs/>
          <w:color w:val="000000" w:themeColor="text1"/>
          <w:sz w:val="20"/>
          <w:lang w:eastAsia="zh-TW"/>
        </w:rPr>
        <w:t>.</w:t>
      </w:r>
      <w:r w:rsidR="00263F81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   </w:t>
      </w:r>
      <w:r w:rsidR="00DA26D5" w:rsidRPr="00BF3213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 </w:t>
      </w:r>
      <w:r w:rsidR="005B49DE">
        <w:rPr>
          <w:rFonts w:ascii="Arial" w:hAnsi="Arial" w:cs="Arial"/>
          <w:b/>
          <w:bCs/>
          <w:color w:val="000000" w:themeColor="text1"/>
          <w:sz w:val="20"/>
          <w:lang w:eastAsia="zh-TW"/>
        </w:rPr>
        <w:t xml:space="preserve">  </w:t>
      </w:r>
    </w:p>
    <w:p w:rsidR="00CF5AEB" w:rsidRPr="00BF3213" w:rsidRDefault="00CF5AEB">
      <w:pPr>
        <w:rPr>
          <w:b/>
          <w:lang w:eastAsia="zh-TW"/>
        </w:rPr>
      </w:pPr>
    </w:p>
    <w:p w:rsidR="008E2D31" w:rsidRDefault="008E2D31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E325FE" w:rsidTr="00BF3213">
        <w:tc>
          <w:tcPr>
            <w:tcW w:w="96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E325FE" w:rsidRPr="00E325FE" w:rsidRDefault="00D8180E">
            <w:pPr>
              <w:rPr>
                <w:rFonts w:ascii="Arial" w:hAnsi="Arial" w:cs="Arial"/>
                <w:b/>
                <w:szCs w:val="22"/>
                <w:lang w:eastAsia="zh-TW"/>
              </w:rPr>
            </w:pPr>
            <w:r>
              <w:rPr>
                <w:rFonts w:ascii="Arial" w:hAnsi="Arial" w:cs="Arial" w:hint="eastAsia"/>
                <w:b/>
                <w:szCs w:val="22"/>
                <w:lang w:eastAsia="zh-TW"/>
              </w:rPr>
              <w:t>Please describe the</w:t>
            </w:r>
            <w:r>
              <w:rPr>
                <w:rFonts w:ascii="Arial" w:hAnsi="Arial" w:cs="Arial"/>
                <w:b/>
                <w:szCs w:val="22"/>
                <w:lang w:eastAsia="zh-TW"/>
              </w:rPr>
              <w:t xml:space="preserve"> good </w:t>
            </w:r>
            <w:r w:rsidR="003D70B6">
              <w:rPr>
                <w:rFonts w:ascii="Arial" w:hAnsi="Arial" w:cs="Arial"/>
                <w:b/>
                <w:szCs w:val="22"/>
                <w:lang w:eastAsia="zh-TW"/>
              </w:rPr>
              <w:t>CG and/ or ESG</w:t>
            </w:r>
            <w:r w:rsidR="005A632F">
              <w:rPr>
                <w:rFonts w:ascii="Arial" w:hAnsi="Arial" w:cs="Arial"/>
                <w:b/>
                <w:szCs w:val="22"/>
                <w:lang w:eastAsia="zh-TW"/>
              </w:rPr>
              <w:t xml:space="preserve"> practices</w:t>
            </w:r>
            <w:r w:rsidR="00BB281E">
              <w:rPr>
                <w:rFonts w:ascii="Arial" w:hAnsi="Arial" w:cs="Arial"/>
                <w:b/>
                <w:szCs w:val="22"/>
                <w:lang w:eastAsia="zh-TW"/>
              </w:rPr>
              <w:t xml:space="preserve"> </w:t>
            </w:r>
            <w:r w:rsidR="00E325FE" w:rsidRPr="00E325FE">
              <w:rPr>
                <w:rFonts w:ascii="Arial" w:hAnsi="Arial" w:cs="Arial" w:hint="eastAsia"/>
                <w:b/>
                <w:szCs w:val="22"/>
                <w:lang w:eastAsia="zh-TW"/>
              </w:rPr>
              <w:t xml:space="preserve">that your </w:t>
            </w:r>
            <w:r w:rsidR="007331DD">
              <w:rPr>
                <w:rFonts w:ascii="Arial" w:hAnsi="Arial" w:cs="Arial"/>
                <w:b/>
                <w:szCs w:val="22"/>
                <w:lang w:eastAsia="zh-TW"/>
              </w:rPr>
              <w:t xml:space="preserve">company/ </w:t>
            </w:r>
            <w:r w:rsidR="00C8198C">
              <w:rPr>
                <w:rFonts w:ascii="Arial" w:hAnsi="Arial" w:cs="Arial"/>
                <w:b/>
                <w:szCs w:val="22"/>
                <w:lang w:eastAsia="zh-TW"/>
              </w:rPr>
              <w:t>o</w:t>
            </w:r>
            <w:r w:rsidR="00627CEF">
              <w:rPr>
                <w:rFonts w:ascii="Arial" w:hAnsi="Arial" w:cs="Arial" w:hint="eastAsia"/>
                <w:b/>
                <w:szCs w:val="22"/>
                <w:lang w:eastAsia="zh-TW"/>
              </w:rPr>
              <w:t>rganiz</w:t>
            </w:r>
            <w:r w:rsidR="00E325FE" w:rsidRPr="00E325FE">
              <w:rPr>
                <w:rFonts w:ascii="Arial" w:hAnsi="Arial" w:cs="Arial" w:hint="eastAsia"/>
                <w:b/>
                <w:szCs w:val="22"/>
                <w:lang w:eastAsia="zh-TW"/>
              </w:rPr>
              <w:t xml:space="preserve">ation has </w:t>
            </w:r>
            <w:r w:rsidR="007331DD">
              <w:rPr>
                <w:rFonts w:ascii="Arial" w:hAnsi="Arial" w:cs="Arial"/>
                <w:b/>
                <w:szCs w:val="22"/>
                <w:lang w:eastAsia="zh-TW"/>
              </w:rPr>
              <w:t>introduced</w:t>
            </w:r>
            <w:r w:rsidR="00BB281E">
              <w:rPr>
                <w:rFonts w:ascii="Arial" w:hAnsi="Arial" w:cs="Arial"/>
                <w:b/>
                <w:szCs w:val="22"/>
                <w:lang w:eastAsia="zh-TW"/>
              </w:rPr>
              <w:t xml:space="preserve"> </w:t>
            </w:r>
            <w:r w:rsidR="00BB281E">
              <w:rPr>
                <w:rFonts w:ascii="Arial" w:hAnsi="Arial" w:cs="Arial" w:hint="eastAsia"/>
                <w:b/>
                <w:szCs w:val="22"/>
                <w:lang w:eastAsia="zh-TW"/>
              </w:rPr>
              <w:t xml:space="preserve">and 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 xml:space="preserve">which </w:t>
            </w:r>
            <w:r w:rsidR="003158B0" w:rsidRPr="001B6EF5">
              <w:rPr>
                <w:rFonts w:ascii="Arial" w:hAnsi="Arial" w:cs="Arial"/>
                <w:b/>
                <w:szCs w:val="22"/>
                <w:lang w:eastAsia="zh-TW"/>
              </w:rPr>
              <w:t>ha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>ve</w:t>
            </w:r>
            <w:r w:rsidR="003158B0" w:rsidRPr="001B6EF5">
              <w:rPr>
                <w:rFonts w:ascii="Arial" w:hAnsi="Arial" w:cs="Arial"/>
                <w:b/>
                <w:szCs w:val="22"/>
                <w:lang w:eastAsia="zh-TW"/>
              </w:rPr>
              <w:t xml:space="preserve"> been</w:t>
            </w:r>
            <w:r w:rsidR="003158B0">
              <w:rPr>
                <w:rFonts w:ascii="Arial" w:hAnsi="Arial" w:cs="Arial"/>
                <w:szCs w:val="22"/>
                <w:lang w:eastAsia="zh-TW"/>
              </w:rPr>
              <w:t xml:space="preserve"> </w:t>
            </w:r>
            <w:r w:rsidR="009F1880">
              <w:rPr>
                <w:rFonts w:ascii="Arial" w:hAnsi="Arial" w:cs="Arial"/>
                <w:b/>
                <w:szCs w:val="22"/>
                <w:lang w:eastAsia="zh-TW"/>
              </w:rPr>
              <w:t xml:space="preserve">disclosed 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>in</w:t>
            </w:r>
            <w:r w:rsidR="009F1880">
              <w:rPr>
                <w:rFonts w:ascii="Arial" w:hAnsi="Arial" w:cs="Arial"/>
                <w:b/>
                <w:szCs w:val="22"/>
                <w:lang w:eastAsia="zh-TW"/>
              </w:rPr>
              <w:t xml:space="preserve"> </w:t>
            </w:r>
            <w:r w:rsidR="00880C56">
              <w:rPr>
                <w:rFonts w:ascii="Arial" w:hAnsi="Arial" w:cs="Arial"/>
                <w:b/>
                <w:szCs w:val="22"/>
                <w:lang w:eastAsia="zh-TW"/>
              </w:rPr>
              <w:t xml:space="preserve">the 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>company’s/ o</w:t>
            </w:r>
            <w:r w:rsidR="007C2491">
              <w:rPr>
                <w:rFonts w:ascii="Arial" w:hAnsi="Arial" w:cs="Arial" w:hint="eastAsia"/>
                <w:b/>
                <w:szCs w:val="22"/>
                <w:lang w:eastAsia="zh-TW"/>
              </w:rPr>
              <w:t>rganiz</w:t>
            </w:r>
            <w:r w:rsidR="007C2491" w:rsidRPr="00E325FE">
              <w:rPr>
                <w:rFonts w:ascii="Arial" w:hAnsi="Arial" w:cs="Arial" w:hint="eastAsia"/>
                <w:b/>
                <w:szCs w:val="22"/>
                <w:lang w:eastAsia="zh-TW"/>
              </w:rPr>
              <w:t>ation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>’s</w:t>
            </w:r>
            <w:r w:rsidR="007C2491" w:rsidRPr="00E325FE">
              <w:rPr>
                <w:rFonts w:ascii="Arial" w:hAnsi="Arial" w:cs="Arial" w:hint="eastAsia"/>
                <w:b/>
                <w:szCs w:val="22"/>
                <w:lang w:eastAsia="zh-TW"/>
              </w:rPr>
              <w:t xml:space="preserve"> </w:t>
            </w:r>
            <w:r w:rsidR="00880C56">
              <w:rPr>
                <w:rFonts w:ascii="Arial" w:hAnsi="Arial" w:cs="Arial"/>
                <w:b/>
                <w:szCs w:val="22"/>
                <w:lang w:eastAsia="zh-TW"/>
              </w:rPr>
              <w:t>annual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 xml:space="preserve"> or</w:t>
            </w:r>
            <w:r w:rsidR="00F35041">
              <w:rPr>
                <w:rFonts w:ascii="Arial" w:hAnsi="Arial" w:cs="Arial"/>
                <w:b/>
                <w:szCs w:val="22"/>
                <w:lang w:eastAsia="zh-TW"/>
              </w:rPr>
              <w:t xml:space="preserve"> ESG</w:t>
            </w:r>
            <w:r w:rsidR="007C2491">
              <w:rPr>
                <w:rFonts w:ascii="Arial" w:hAnsi="Arial" w:cs="Arial"/>
                <w:b/>
                <w:szCs w:val="22"/>
                <w:lang w:eastAsia="zh-TW"/>
              </w:rPr>
              <w:t>/ sustainability</w:t>
            </w:r>
            <w:r w:rsidR="00F35041">
              <w:rPr>
                <w:rFonts w:ascii="Arial" w:hAnsi="Arial" w:cs="Arial"/>
                <w:b/>
                <w:szCs w:val="22"/>
                <w:lang w:eastAsia="zh-TW"/>
              </w:rPr>
              <w:t xml:space="preserve"> report. </w:t>
            </w:r>
          </w:p>
        </w:tc>
      </w:tr>
      <w:tr w:rsidR="00E325FE" w:rsidTr="00BF3213">
        <w:trPr>
          <w:trHeight w:val="11360"/>
        </w:trPr>
        <w:tc>
          <w:tcPr>
            <w:tcW w:w="9600" w:type="dxa"/>
          </w:tcPr>
          <w:p w:rsidR="00E325FE" w:rsidRDefault="00E325FE">
            <w:pPr>
              <w:rPr>
                <w:rFonts w:ascii="Arial" w:hAnsi="Arial" w:cs="Arial"/>
                <w:szCs w:val="22"/>
                <w:lang w:eastAsia="zh-TW"/>
              </w:rPr>
            </w:pPr>
          </w:p>
          <w:p w:rsidR="00E325FE" w:rsidRPr="00C6231E" w:rsidRDefault="00E325FE" w:rsidP="008E2D31">
            <w:pPr>
              <w:rPr>
                <w:rFonts w:ascii="Arial" w:hAnsi="Arial" w:cs="Arial"/>
                <w:szCs w:val="22"/>
                <w:lang w:eastAsia="zh-TW"/>
              </w:rPr>
            </w:pPr>
          </w:p>
        </w:tc>
      </w:tr>
    </w:tbl>
    <w:p w:rsidR="00D3493F" w:rsidRDefault="00F42343" w:rsidP="00DA6577">
      <w:pPr>
        <w:pStyle w:val="Heading1"/>
        <w:rPr>
          <w:rFonts w:ascii="Arial" w:hAnsi="Arial" w:cs="Arial"/>
          <w:sz w:val="20"/>
          <w:u w:val="none"/>
          <w:lang w:eastAsia="zh-TW"/>
        </w:rPr>
      </w:pPr>
      <w:r>
        <w:rPr>
          <w:rFonts w:ascii="Arial" w:hAnsi="Arial" w:cs="Arial"/>
          <w:sz w:val="20"/>
          <w:lang w:eastAsia="zh-TW"/>
        </w:rPr>
        <w:t>A</w:t>
      </w:r>
      <w:r w:rsidR="00EF6896" w:rsidRPr="00EF6896">
        <w:rPr>
          <w:rFonts w:ascii="Arial" w:hAnsi="Arial" w:cs="Arial"/>
          <w:sz w:val="20"/>
          <w:lang w:eastAsia="zh-TW"/>
        </w:rPr>
        <w:t>dd</w:t>
      </w:r>
      <w:r w:rsidR="00EF6896">
        <w:rPr>
          <w:rFonts w:ascii="Arial" w:hAnsi="Arial" w:cs="Arial"/>
          <w:sz w:val="20"/>
          <w:lang w:eastAsia="zh-TW"/>
        </w:rPr>
        <w:t>i</w:t>
      </w:r>
      <w:r w:rsidR="00EF6896" w:rsidRPr="00EF6896">
        <w:rPr>
          <w:rFonts w:ascii="Arial" w:hAnsi="Arial" w:cs="Arial"/>
          <w:sz w:val="20"/>
          <w:lang w:eastAsia="zh-TW"/>
        </w:rPr>
        <w:t>tiona</w:t>
      </w:r>
      <w:r w:rsidR="00EF6896">
        <w:rPr>
          <w:rFonts w:ascii="Arial" w:hAnsi="Arial" w:cs="Arial"/>
          <w:sz w:val="20"/>
          <w:lang w:eastAsia="zh-TW"/>
        </w:rPr>
        <w:t>l</w:t>
      </w:r>
      <w:r w:rsidR="00EF6896" w:rsidRPr="00EF6896"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20"/>
          <w:lang w:eastAsia="zh-TW"/>
        </w:rPr>
        <w:t>pages</w:t>
      </w:r>
      <w:r w:rsidR="00EF6896"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20"/>
          <w:lang w:eastAsia="zh-TW"/>
        </w:rPr>
        <w:t xml:space="preserve">may be included </w:t>
      </w:r>
      <w:r w:rsidR="00EF6896">
        <w:rPr>
          <w:rFonts w:ascii="Arial" w:hAnsi="Arial" w:cs="Arial"/>
          <w:sz w:val="20"/>
          <w:lang w:eastAsia="zh-TW"/>
        </w:rPr>
        <w:t>if the above space is insufficient</w:t>
      </w:r>
      <w:r>
        <w:rPr>
          <w:rFonts w:ascii="Arial" w:hAnsi="Arial" w:cs="Arial"/>
          <w:sz w:val="20"/>
          <w:lang w:eastAsia="zh-TW"/>
        </w:rPr>
        <w:t>.</w:t>
      </w:r>
      <w:r w:rsidR="00EF6896" w:rsidRPr="00EF6896">
        <w:rPr>
          <w:rFonts w:ascii="Arial" w:hAnsi="Arial" w:cs="Arial"/>
          <w:sz w:val="20"/>
          <w:lang w:eastAsia="zh-TW"/>
        </w:rPr>
        <w:t xml:space="preserve"> </w:t>
      </w:r>
    </w:p>
    <w:p w:rsidR="00D3493F" w:rsidRPr="00BF3213" w:rsidRDefault="00D3493F" w:rsidP="00BF3213">
      <w:pPr>
        <w:rPr>
          <w:lang w:eastAsia="zh-TW"/>
        </w:rPr>
      </w:pPr>
    </w:p>
    <w:p w:rsidR="00263BCA" w:rsidRPr="005D5883" w:rsidRDefault="00263BCA" w:rsidP="005D5883">
      <w:pPr>
        <w:rPr>
          <w:rFonts w:ascii="Arial" w:hAnsi="Arial" w:cs="Arial"/>
          <w:bCs/>
          <w:sz w:val="20"/>
        </w:rPr>
      </w:pPr>
      <w:r w:rsidRPr="005D5883">
        <w:rPr>
          <w:rFonts w:ascii="Arial" w:hAnsi="Arial" w:cs="Arial"/>
          <w:bCs/>
          <w:sz w:val="20"/>
        </w:rPr>
        <w:t xml:space="preserve">If requested, </w:t>
      </w:r>
      <w:r w:rsidRPr="005D5883">
        <w:rPr>
          <w:rFonts w:ascii="Arial" w:hAnsi="Arial" w:cs="Arial" w:hint="eastAsia"/>
          <w:bCs/>
          <w:sz w:val="20"/>
        </w:rPr>
        <w:t xml:space="preserve">would your </w:t>
      </w:r>
      <w:r w:rsidR="00F42343">
        <w:rPr>
          <w:rFonts w:ascii="Arial" w:hAnsi="Arial" w:cs="Arial"/>
          <w:bCs/>
          <w:sz w:val="20"/>
        </w:rPr>
        <w:t>company</w:t>
      </w:r>
      <w:r w:rsidR="007F75C6">
        <w:rPr>
          <w:rFonts w:ascii="Arial" w:hAnsi="Arial" w:cs="Arial"/>
          <w:bCs/>
          <w:sz w:val="20"/>
        </w:rPr>
        <w:t xml:space="preserve">/ </w:t>
      </w:r>
      <w:r w:rsidR="00C8198C">
        <w:rPr>
          <w:rFonts w:ascii="Arial" w:hAnsi="Arial" w:cs="Arial"/>
          <w:bCs/>
          <w:sz w:val="20"/>
        </w:rPr>
        <w:t>o</w:t>
      </w:r>
      <w:r w:rsidR="00627CEF">
        <w:rPr>
          <w:rFonts w:ascii="Arial" w:hAnsi="Arial" w:cs="Arial" w:hint="eastAsia"/>
          <w:bCs/>
          <w:sz w:val="20"/>
        </w:rPr>
        <w:t>rganiz</w:t>
      </w:r>
      <w:r w:rsidRPr="005D5883">
        <w:rPr>
          <w:rFonts w:ascii="Arial" w:hAnsi="Arial" w:cs="Arial" w:hint="eastAsia"/>
          <w:bCs/>
          <w:sz w:val="20"/>
        </w:rPr>
        <w:t>ation be</w:t>
      </w:r>
      <w:r w:rsidRPr="005D5883">
        <w:rPr>
          <w:rFonts w:ascii="Arial" w:hAnsi="Arial" w:cs="Arial"/>
          <w:bCs/>
          <w:sz w:val="20"/>
        </w:rPr>
        <w:t xml:space="preserve"> willing to send senior representative(s) to explain to a panel of awards reviewers/ judges </w:t>
      </w:r>
      <w:r w:rsidR="00F42343">
        <w:rPr>
          <w:rFonts w:ascii="Arial" w:hAnsi="Arial" w:cs="Arial"/>
          <w:bCs/>
          <w:sz w:val="20"/>
        </w:rPr>
        <w:t xml:space="preserve">further </w:t>
      </w:r>
      <w:r w:rsidRPr="005D5883">
        <w:rPr>
          <w:rFonts w:ascii="Arial" w:hAnsi="Arial" w:cs="Arial"/>
          <w:bCs/>
          <w:sz w:val="20"/>
        </w:rPr>
        <w:t xml:space="preserve">details about the </w:t>
      </w:r>
      <w:r w:rsidR="00D8180E">
        <w:rPr>
          <w:rFonts w:ascii="Arial" w:hAnsi="Arial" w:cs="Arial"/>
          <w:bCs/>
          <w:sz w:val="20"/>
        </w:rPr>
        <w:t>good</w:t>
      </w:r>
      <w:r w:rsidR="005A632F" w:rsidRPr="005A632F">
        <w:rPr>
          <w:rFonts w:ascii="Arial" w:hAnsi="Arial" w:cs="Arial"/>
          <w:bCs/>
          <w:sz w:val="20"/>
        </w:rPr>
        <w:t xml:space="preserve"> </w:t>
      </w:r>
      <w:r w:rsidR="00F42343">
        <w:rPr>
          <w:rFonts w:ascii="Arial" w:hAnsi="Arial" w:cs="Arial"/>
          <w:bCs/>
          <w:sz w:val="20"/>
        </w:rPr>
        <w:t>CG</w:t>
      </w:r>
      <w:r w:rsidR="003D70B6">
        <w:rPr>
          <w:rFonts w:ascii="Arial" w:hAnsi="Arial" w:cs="Arial"/>
          <w:bCs/>
          <w:sz w:val="20"/>
        </w:rPr>
        <w:t xml:space="preserve"> and/ or ESG</w:t>
      </w:r>
      <w:r w:rsidR="00F42343">
        <w:rPr>
          <w:rFonts w:ascii="Arial" w:hAnsi="Arial" w:cs="Arial"/>
          <w:bCs/>
          <w:sz w:val="20"/>
        </w:rPr>
        <w:t xml:space="preserve"> </w:t>
      </w:r>
      <w:r w:rsidR="005A632F" w:rsidRPr="005A632F">
        <w:rPr>
          <w:rFonts w:ascii="Arial" w:hAnsi="Arial" w:cs="Arial"/>
          <w:bCs/>
          <w:sz w:val="20"/>
        </w:rPr>
        <w:t>practices</w:t>
      </w:r>
      <w:r w:rsidR="00F42343">
        <w:rPr>
          <w:rFonts w:ascii="Arial" w:hAnsi="Arial" w:cs="Arial"/>
          <w:bCs/>
          <w:sz w:val="20"/>
        </w:rPr>
        <w:t xml:space="preserve"> </w:t>
      </w:r>
      <w:r w:rsidR="00A44F5E">
        <w:rPr>
          <w:rFonts w:ascii="Arial" w:hAnsi="Arial" w:cs="Arial"/>
          <w:bCs/>
          <w:sz w:val="20"/>
        </w:rPr>
        <w:t>that it</w:t>
      </w:r>
      <w:r w:rsidR="003D70B6">
        <w:rPr>
          <w:rFonts w:ascii="Arial" w:hAnsi="Arial" w:cs="Arial"/>
          <w:bCs/>
          <w:sz w:val="20"/>
        </w:rPr>
        <w:t xml:space="preserve"> </w:t>
      </w:r>
      <w:r w:rsidR="00F42343">
        <w:rPr>
          <w:rFonts w:ascii="Arial" w:hAnsi="Arial" w:cs="Arial"/>
          <w:bCs/>
          <w:sz w:val="20"/>
        </w:rPr>
        <w:t>has introduced</w:t>
      </w:r>
      <w:r w:rsidRPr="005D5883">
        <w:rPr>
          <w:rFonts w:ascii="Arial" w:hAnsi="Arial" w:cs="Arial" w:hint="eastAsia"/>
          <w:bCs/>
          <w:sz w:val="20"/>
        </w:rPr>
        <w:t>?</w:t>
      </w:r>
    </w:p>
    <w:p w:rsidR="00263BCA" w:rsidRDefault="00902ABF" w:rsidP="00263BCA">
      <w:pPr>
        <w:rPr>
          <w:lang w:eastAsia="zh-TW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142240</wp:posOffset>
                </wp:positionV>
                <wp:extent cx="336550" cy="212725"/>
                <wp:effectExtent l="25400" t="22225" r="38100" b="508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12725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2BF04D"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6" type="#_x0000_t109" style="position:absolute;margin-left:92.9pt;margin-top:11.2pt;width:26.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" filled="f" fillcolor="#9bbb59" strokecolor="#f2f2f2" strokeweight="3pt">
                <v:shadow on="t" color="#4e6128" opacity=".5" offset="1pt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142240</wp:posOffset>
                </wp:positionV>
                <wp:extent cx="336550" cy="212725"/>
                <wp:effectExtent l="26035" t="22225" r="37465" b="508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12725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A09E60" id="AutoShape 5" o:spid="_x0000_s1026" type="#_x0000_t109" style="position:absolute;margin-left:26.2pt;margin-top:11.2pt;width:26.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" filled="f" fillcolor="#9bbb59" strokecolor="#f2f2f2" strokeweight="3pt">
                <v:shadow on="t" color="#4e6128" opacity=".5" offset="1pt"/>
              </v:shape>
            </w:pict>
          </mc:Fallback>
        </mc:AlternateContent>
      </w:r>
    </w:p>
    <w:p w:rsidR="00263BCA" w:rsidRPr="002D7729" w:rsidRDefault="00263BCA" w:rsidP="00263BCA">
      <w:pPr>
        <w:rPr>
          <w:rFonts w:ascii="Arial" w:hAnsi="Arial" w:cs="Arial"/>
          <w:sz w:val="20"/>
          <w:lang w:eastAsia="zh-TW"/>
        </w:rPr>
      </w:pPr>
      <w:r w:rsidRPr="002D7729">
        <w:rPr>
          <w:rFonts w:ascii="Arial" w:hAnsi="Arial" w:cs="Arial"/>
          <w:sz w:val="20"/>
          <w:lang w:eastAsia="zh-TW"/>
        </w:rPr>
        <w:t>Yes                    No</w:t>
      </w:r>
    </w:p>
    <w:p w:rsidR="00DA6577" w:rsidRDefault="00DA6577" w:rsidP="00DA6577">
      <w:pPr>
        <w:rPr>
          <w:lang w:eastAsia="zh-TW"/>
        </w:rPr>
      </w:pPr>
    </w:p>
    <w:sectPr w:rsidR="00DA6577" w:rsidSect="008E2D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707" w:right="1152" w:bottom="720" w:left="1152" w:header="576" w:footer="4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8C" w:rsidRDefault="00C8198C">
      <w:r>
        <w:separator/>
      </w:r>
    </w:p>
  </w:endnote>
  <w:endnote w:type="continuationSeparator" w:id="0">
    <w:p w:rsidR="00C8198C" w:rsidRDefault="00C8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8C" w:rsidRDefault="00FC26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19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98C">
      <w:rPr>
        <w:rStyle w:val="PageNumber"/>
        <w:noProof/>
      </w:rPr>
      <w:t>1</w:t>
    </w:r>
    <w:r>
      <w:rPr>
        <w:rStyle w:val="PageNumber"/>
      </w:rPr>
      <w:fldChar w:fldCharType="end"/>
    </w:r>
  </w:p>
  <w:p w:rsidR="00C8198C" w:rsidRDefault="00C819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8C" w:rsidRDefault="00FC26EE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 w:rsidR="00C8198C"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9B7B83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  <w:p w:rsidR="00C8198C" w:rsidRDefault="00C8198C">
    <w:pPr>
      <w:pStyle w:val="Footer"/>
      <w:ind w:right="360"/>
    </w:pPr>
    <w:r>
      <w:rPr>
        <w:rFonts w:ascii="Arial" w:hAnsi="Arial" w:cs="Arial"/>
        <w:i/>
        <w:iCs/>
        <w:sz w:val="16"/>
      </w:rPr>
      <w:t xml:space="preserve">Copyright © </w:t>
    </w:r>
    <w:r w:rsidR="00E04AE4">
      <w:rPr>
        <w:rFonts w:ascii="Arial" w:hAnsi="Arial" w:cs="Arial"/>
        <w:i/>
        <w:iCs/>
        <w:sz w:val="16"/>
      </w:rPr>
      <w:t>2023</w:t>
    </w:r>
    <w:r>
      <w:rPr>
        <w:rFonts w:ascii="Arial" w:hAnsi="Arial" w:cs="Arial"/>
        <w:i/>
        <w:iCs/>
        <w:sz w:val="16"/>
      </w:rPr>
      <w:t>, The Hong Kong Institute of Certified Public Accountants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8C" w:rsidRDefault="00C8198C">
    <w:pPr>
      <w:pStyle w:val="Foo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Copyright © 201</w:t>
    </w:r>
    <w:r>
      <w:rPr>
        <w:rFonts w:ascii="Arial" w:hAnsi="Arial" w:cs="Arial"/>
        <w:i/>
        <w:iCs/>
        <w:sz w:val="16"/>
        <w:lang w:eastAsia="zh-TW"/>
      </w:rPr>
      <w:t>8</w:t>
    </w:r>
    <w:r>
      <w:rPr>
        <w:rFonts w:ascii="Arial" w:hAnsi="Arial" w:cs="Arial"/>
        <w:i/>
        <w:iCs/>
        <w:sz w:val="16"/>
      </w:rPr>
      <w:t xml:space="preserve">, The Hong Kong Institute of Certified Public Accountants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8C" w:rsidRDefault="00C8198C">
      <w:r>
        <w:separator/>
      </w:r>
    </w:p>
  </w:footnote>
  <w:footnote w:type="continuationSeparator" w:id="0">
    <w:p w:rsidR="00C8198C" w:rsidRDefault="00C8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31" w:rsidRDefault="008E2D31">
    <w:pPr>
      <w:pStyle w:val="Header"/>
    </w:pPr>
    <w:r w:rsidRPr="008E2D31"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-365760</wp:posOffset>
          </wp:positionV>
          <wp:extent cx="3457575" cy="1076325"/>
          <wp:effectExtent l="19050" t="0" r="9525" b="0"/>
          <wp:wrapNone/>
          <wp:docPr id="3" name="圖片 1" descr="K:\raychui_K\20130321\912\912_Letterhead-Front_Header_210x30mm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aychui_K\20130321\912\912_Letterhead-Front_Header_210x30mm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4338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8C" w:rsidRDefault="00C8198C">
    <w:pPr>
      <w:pStyle w:val="Header"/>
      <w:ind w:leftChars="-245" w:left="-539" w:right="-226"/>
      <w:rPr>
        <w:rFonts w:ascii="Arial" w:hAnsi="Arial" w:cs="Arial"/>
        <w:b/>
        <w:bCs/>
        <w:sz w:val="36"/>
        <w:u w:val="single"/>
        <w:lang w:eastAsia="zh-TW"/>
      </w:rPr>
    </w:pPr>
    <w:r>
      <w:rPr>
        <w:noProof/>
        <w:sz w:val="36"/>
        <w:lang w:eastAsia="zh-CN"/>
      </w:rPr>
      <w:drawing>
        <wp:inline distT="0" distB="0" distL="0" distR="0">
          <wp:extent cx="2862580" cy="54864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6"/>
      </w:rPr>
      <w:t xml:space="preserve">                </w:t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4A6"/>
    <w:multiLevelType w:val="hybridMultilevel"/>
    <w:tmpl w:val="9B9ACEA2"/>
    <w:lvl w:ilvl="0" w:tplc="B076310A">
      <w:start w:val="4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PMingLiU" w:hAnsi="Times New Roman" w:cs="Times New Roman" w:hint="default"/>
      </w:rPr>
    </w:lvl>
    <w:lvl w:ilvl="1" w:tplc="B3C62A66">
      <w:start w:val="1"/>
      <w:numFmt w:val="bullet"/>
      <w:lvlText w:val="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4E7F31"/>
    <w:multiLevelType w:val="hybridMultilevel"/>
    <w:tmpl w:val="857EC71E"/>
    <w:lvl w:ilvl="0" w:tplc="9A1E0E2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2A4DB9"/>
    <w:multiLevelType w:val="hybridMultilevel"/>
    <w:tmpl w:val="0D70DED2"/>
    <w:lvl w:ilvl="0" w:tplc="F3AA6150">
      <w:start w:val="1"/>
      <w:numFmt w:val="bullet"/>
      <w:lvlText w:val="-"/>
      <w:lvlJc w:val="left"/>
      <w:pPr>
        <w:ind w:left="960" w:hanging="480"/>
      </w:pPr>
      <w:rPr>
        <w:rFonts w:ascii="Utsaah" w:hAnsi="Utsaah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5C60C14"/>
    <w:multiLevelType w:val="hybridMultilevel"/>
    <w:tmpl w:val="9B9ACEA2"/>
    <w:lvl w:ilvl="0" w:tplc="B076310A">
      <w:start w:val="4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PMingLiU" w:hAnsi="Times New Roman" w:cs="Times New Roman" w:hint="default"/>
      </w:rPr>
    </w:lvl>
    <w:lvl w:ilvl="1" w:tplc="E5D476C8">
      <w:start w:val="6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9A922B5"/>
    <w:multiLevelType w:val="hybridMultilevel"/>
    <w:tmpl w:val="7FBA89D4"/>
    <w:lvl w:ilvl="0" w:tplc="E32C911C">
      <w:start w:val="3"/>
      <w:numFmt w:val="upperLetter"/>
      <w:lvlText w:val="%1."/>
      <w:lvlJc w:val="left"/>
      <w:pPr>
        <w:tabs>
          <w:tab w:val="num" w:pos="434"/>
        </w:tabs>
        <w:ind w:left="43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8"/>
        </w:tabs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8"/>
        </w:tabs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5" w15:restartNumberingAfterBreak="0">
    <w:nsid w:val="260E1E43"/>
    <w:multiLevelType w:val="hybridMultilevel"/>
    <w:tmpl w:val="9CDE9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8A428D"/>
    <w:multiLevelType w:val="hybridMultilevel"/>
    <w:tmpl w:val="4E381040"/>
    <w:lvl w:ilvl="0" w:tplc="52B080B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42527399"/>
    <w:multiLevelType w:val="hybridMultilevel"/>
    <w:tmpl w:val="95EA9956"/>
    <w:lvl w:ilvl="0" w:tplc="0F38156E">
      <w:start w:val="4"/>
      <w:numFmt w:val="lowerRoman"/>
      <w:lvlText w:val="%1)"/>
      <w:lvlJc w:val="left"/>
      <w:pPr>
        <w:tabs>
          <w:tab w:val="num" w:pos="717"/>
        </w:tabs>
        <w:ind w:left="717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2"/>
        </w:tabs>
        <w:ind w:left="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2"/>
        </w:tabs>
        <w:ind w:left="2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2"/>
        </w:tabs>
        <w:ind w:left="2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2"/>
        </w:tabs>
        <w:ind w:left="3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2"/>
        </w:tabs>
        <w:ind w:left="4302" w:hanging="480"/>
      </w:pPr>
    </w:lvl>
  </w:abstractNum>
  <w:abstractNum w:abstractNumId="8" w15:restartNumberingAfterBreak="0">
    <w:nsid w:val="44C45563"/>
    <w:multiLevelType w:val="hybridMultilevel"/>
    <w:tmpl w:val="1432FECC"/>
    <w:lvl w:ilvl="0" w:tplc="60620196">
      <w:start w:val="3"/>
      <w:numFmt w:val="lowerRoman"/>
      <w:lvlText w:val="%1)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2"/>
        </w:tabs>
        <w:ind w:left="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2"/>
        </w:tabs>
        <w:ind w:left="2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2"/>
        </w:tabs>
        <w:ind w:left="2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2"/>
        </w:tabs>
        <w:ind w:left="3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2"/>
        </w:tabs>
        <w:ind w:left="4302" w:hanging="480"/>
      </w:pPr>
    </w:lvl>
  </w:abstractNum>
  <w:abstractNum w:abstractNumId="9" w15:restartNumberingAfterBreak="0">
    <w:nsid w:val="44F24957"/>
    <w:multiLevelType w:val="hybridMultilevel"/>
    <w:tmpl w:val="D676F37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17556"/>
    <w:multiLevelType w:val="hybridMultilevel"/>
    <w:tmpl w:val="742AFAB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6194541"/>
    <w:multiLevelType w:val="hybridMultilevel"/>
    <w:tmpl w:val="15027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313E0"/>
    <w:multiLevelType w:val="hybridMultilevel"/>
    <w:tmpl w:val="9CDE9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A11E6F"/>
    <w:multiLevelType w:val="hybridMultilevel"/>
    <w:tmpl w:val="78805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D5004E"/>
    <w:multiLevelType w:val="singleLevel"/>
    <w:tmpl w:val="D52EF5AE"/>
    <w:lvl w:ilvl="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1F"/>
    <w:rsid w:val="00002F2C"/>
    <w:rsid w:val="00061686"/>
    <w:rsid w:val="00064421"/>
    <w:rsid w:val="00065C4D"/>
    <w:rsid w:val="00066F77"/>
    <w:rsid w:val="00070902"/>
    <w:rsid w:val="000862DA"/>
    <w:rsid w:val="000A16A1"/>
    <w:rsid w:val="000A7960"/>
    <w:rsid w:val="000B20BB"/>
    <w:rsid w:val="000C57BB"/>
    <w:rsid w:val="000C6F70"/>
    <w:rsid w:val="000E1498"/>
    <w:rsid w:val="000E4BAB"/>
    <w:rsid w:val="000E73B2"/>
    <w:rsid w:val="000F1D27"/>
    <w:rsid w:val="00106F34"/>
    <w:rsid w:val="00113335"/>
    <w:rsid w:val="00117C1D"/>
    <w:rsid w:val="001262DB"/>
    <w:rsid w:val="001565C7"/>
    <w:rsid w:val="001A061A"/>
    <w:rsid w:val="001A44E8"/>
    <w:rsid w:val="001B15A6"/>
    <w:rsid w:val="001B6EF5"/>
    <w:rsid w:val="001C06C8"/>
    <w:rsid w:val="001C0FAE"/>
    <w:rsid w:val="001C530E"/>
    <w:rsid w:val="001D387F"/>
    <w:rsid w:val="001E328A"/>
    <w:rsid w:val="001E3CE7"/>
    <w:rsid w:val="001F3D93"/>
    <w:rsid w:val="001F42F2"/>
    <w:rsid w:val="002232B9"/>
    <w:rsid w:val="002440C2"/>
    <w:rsid w:val="00246356"/>
    <w:rsid w:val="0025642E"/>
    <w:rsid w:val="00263BCA"/>
    <w:rsid w:val="00263F81"/>
    <w:rsid w:val="0027128A"/>
    <w:rsid w:val="00274DC8"/>
    <w:rsid w:val="00277B0A"/>
    <w:rsid w:val="00283BB0"/>
    <w:rsid w:val="00284B31"/>
    <w:rsid w:val="002977E7"/>
    <w:rsid w:val="002B74B3"/>
    <w:rsid w:val="002C6B82"/>
    <w:rsid w:val="002D0179"/>
    <w:rsid w:val="002D349E"/>
    <w:rsid w:val="002D7729"/>
    <w:rsid w:val="002E133E"/>
    <w:rsid w:val="002E41B9"/>
    <w:rsid w:val="002F1A82"/>
    <w:rsid w:val="003047B6"/>
    <w:rsid w:val="003063C8"/>
    <w:rsid w:val="003104E5"/>
    <w:rsid w:val="003158B0"/>
    <w:rsid w:val="00333E8D"/>
    <w:rsid w:val="00334C25"/>
    <w:rsid w:val="00344B75"/>
    <w:rsid w:val="003864A9"/>
    <w:rsid w:val="003A0686"/>
    <w:rsid w:val="003A37BA"/>
    <w:rsid w:val="003A59C6"/>
    <w:rsid w:val="003A61F9"/>
    <w:rsid w:val="003B477F"/>
    <w:rsid w:val="003B48D7"/>
    <w:rsid w:val="003B55E4"/>
    <w:rsid w:val="003D70B6"/>
    <w:rsid w:val="003F1DCE"/>
    <w:rsid w:val="003F39F8"/>
    <w:rsid w:val="003F69E4"/>
    <w:rsid w:val="0040017D"/>
    <w:rsid w:val="00427D37"/>
    <w:rsid w:val="0044058B"/>
    <w:rsid w:val="004467B4"/>
    <w:rsid w:val="00452419"/>
    <w:rsid w:val="0049414A"/>
    <w:rsid w:val="004B3105"/>
    <w:rsid w:val="004C1C35"/>
    <w:rsid w:val="004F6626"/>
    <w:rsid w:val="0051124F"/>
    <w:rsid w:val="00511463"/>
    <w:rsid w:val="00511F16"/>
    <w:rsid w:val="00514079"/>
    <w:rsid w:val="0054030B"/>
    <w:rsid w:val="00544638"/>
    <w:rsid w:val="00556B48"/>
    <w:rsid w:val="00564C53"/>
    <w:rsid w:val="00564F9F"/>
    <w:rsid w:val="00585FCC"/>
    <w:rsid w:val="00595935"/>
    <w:rsid w:val="005A632F"/>
    <w:rsid w:val="005B49DE"/>
    <w:rsid w:val="005C177E"/>
    <w:rsid w:val="005D5883"/>
    <w:rsid w:val="005E3EC3"/>
    <w:rsid w:val="005F582C"/>
    <w:rsid w:val="005F627A"/>
    <w:rsid w:val="00601588"/>
    <w:rsid w:val="00607EAD"/>
    <w:rsid w:val="00627CEF"/>
    <w:rsid w:val="00647A6E"/>
    <w:rsid w:val="006521D6"/>
    <w:rsid w:val="00672F0D"/>
    <w:rsid w:val="006850BF"/>
    <w:rsid w:val="006A0C02"/>
    <w:rsid w:val="006A41B5"/>
    <w:rsid w:val="006A5483"/>
    <w:rsid w:val="006C24D3"/>
    <w:rsid w:val="006C3E01"/>
    <w:rsid w:val="006E387D"/>
    <w:rsid w:val="006F1CFB"/>
    <w:rsid w:val="00716A42"/>
    <w:rsid w:val="007236D8"/>
    <w:rsid w:val="0072730A"/>
    <w:rsid w:val="007311CE"/>
    <w:rsid w:val="007331DD"/>
    <w:rsid w:val="0078321F"/>
    <w:rsid w:val="007902E5"/>
    <w:rsid w:val="00797EA2"/>
    <w:rsid w:val="007A6DC9"/>
    <w:rsid w:val="007B16CB"/>
    <w:rsid w:val="007C2491"/>
    <w:rsid w:val="007C4AF7"/>
    <w:rsid w:val="007D18CF"/>
    <w:rsid w:val="007D3AA7"/>
    <w:rsid w:val="007F4B0F"/>
    <w:rsid w:val="007F75C6"/>
    <w:rsid w:val="008014AA"/>
    <w:rsid w:val="00804B83"/>
    <w:rsid w:val="0080569C"/>
    <w:rsid w:val="00806687"/>
    <w:rsid w:val="00822320"/>
    <w:rsid w:val="00831708"/>
    <w:rsid w:val="00843EAF"/>
    <w:rsid w:val="008454A8"/>
    <w:rsid w:val="00854AF4"/>
    <w:rsid w:val="008649CA"/>
    <w:rsid w:val="0086703C"/>
    <w:rsid w:val="008730C3"/>
    <w:rsid w:val="00875A3E"/>
    <w:rsid w:val="00880C56"/>
    <w:rsid w:val="00880DEC"/>
    <w:rsid w:val="008D1454"/>
    <w:rsid w:val="008E2D31"/>
    <w:rsid w:val="008E43A3"/>
    <w:rsid w:val="008E72D0"/>
    <w:rsid w:val="008F45B5"/>
    <w:rsid w:val="00902ABF"/>
    <w:rsid w:val="00906B4D"/>
    <w:rsid w:val="00916986"/>
    <w:rsid w:val="0094483B"/>
    <w:rsid w:val="00952B73"/>
    <w:rsid w:val="00953C77"/>
    <w:rsid w:val="009547D0"/>
    <w:rsid w:val="0096267C"/>
    <w:rsid w:val="0096631D"/>
    <w:rsid w:val="00991700"/>
    <w:rsid w:val="009A1A81"/>
    <w:rsid w:val="009A2EEC"/>
    <w:rsid w:val="009B2FF7"/>
    <w:rsid w:val="009B7B83"/>
    <w:rsid w:val="009C5F64"/>
    <w:rsid w:val="009C78F0"/>
    <w:rsid w:val="009E40F4"/>
    <w:rsid w:val="009F1520"/>
    <w:rsid w:val="009F1880"/>
    <w:rsid w:val="009F555A"/>
    <w:rsid w:val="00A005EE"/>
    <w:rsid w:val="00A06319"/>
    <w:rsid w:val="00A12116"/>
    <w:rsid w:val="00A44F5E"/>
    <w:rsid w:val="00A57EC7"/>
    <w:rsid w:val="00AA461F"/>
    <w:rsid w:val="00AD6D50"/>
    <w:rsid w:val="00B01465"/>
    <w:rsid w:val="00B016EA"/>
    <w:rsid w:val="00B20C82"/>
    <w:rsid w:val="00B3087E"/>
    <w:rsid w:val="00B57811"/>
    <w:rsid w:val="00B64CB0"/>
    <w:rsid w:val="00B651BC"/>
    <w:rsid w:val="00B705CC"/>
    <w:rsid w:val="00B8164C"/>
    <w:rsid w:val="00B854FF"/>
    <w:rsid w:val="00B9166E"/>
    <w:rsid w:val="00B95685"/>
    <w:rsid w:val="00BB281E"/>
    <w:rsid w:val="00BB5872"/>
    <w:rsid w:val="00BC4904"/>
    <w:rsid w:val="00BD6C01"/>
    <w:rsid w:val="00BD790B"/>
    <w:rsid w:val="00BF3213"/>
    <w:rsid w:val="00BF7D84"/>
    <w:rsid w:val="00C14FF0"/>
    <w:rsid w:val="00C2030D"/>
    <w:rsid w:val="00C25D57"/>
    <w:rsid w:val="00C51595"/>
    <w:rsid w:val="00C52086"/>
    <w:rsid w:val="00C6231E"/>
    <w:rsid w:val="00C8198C"/>
    <w:rsid w:val="00C81FCD"/>
    <w:rsid w:val="00CB6FB2"/>
    <w:rsid w:val="00CC566F"/>
    <w:rsid w:val="00CE7C90"/>
    <w:rsid w:val="00CF02E4"/>
    <w:rsid w:val="00CF5AEB"/>
    <w:rsid w:val="00D00A70"/>
    <w:rsid w:val="00D052B3"/>
    <w:rsid w:val="00D07157"/>
    <w:rsid w:val="00D11A67"/>
    <w:rsid w:val="00D23CC8"/>
    <w:rsid w:val="00D3493F"/>
    <w:rsid w:val="00D50B04"/>
    <w:rsid w:val="00D71C05"/>
    <w:rsid w:val="00D8180E"/>
    <w:rsid w:val="00D82B65"/>
    <w:rsid w:val="00D902DB"/>
    <w:rsid w:val="00D91DB2"/>
    <w:rsid w:val="00DA26D5"/>
    <w:rsid w:val="00DA6577"/>
    <w:rsid w:val="00DA6863"/>
    <w:rsid w:val="00DD7D9B"/>
    <w:rsid w:val="00DE4C9F"/>
    <w:rsid w:val="00E01126"/>
    <w:rsid w:val="00E04AE4"/>
    <w:rsid w:val="00E11347"/>
    <w:rsid w:val="00E1355B"/>
    <w:rsid w:val="00E168FF"/>
    <w:rsid w:val="00E325FE"/>
    <w:rsid w:val="00E41420"/>
    <w:rsid w:val="00E4182E"/>
    <w:rsid w:val="00E7463A"/>
    <w:rsid w:val="00E7476A"/>
    <w:rsid w:val="00E8082A"/>
    <w:rsid w:val="00E8153A"/>
    <w:rsid w:val="00E90735"/>
    <w:rsid w:val="00EB1CCA"/>
    <w:rsid w:val="00EB1FE2"/>
    <w:rsid w:val="00EC1543"/>
    <w:rsid w:val="00EC42FA"/>
    <w:rsid w:val="00EC66F4"/>
    <w:rsid w:val="00ED031D"/>
    <w:rsid w:val="00ED5A08"/>
    <w:rsid w:val="00ED5BE7"/>
    <w:rsid w:val="00ED60CD"/>
    <w:rsid w:val="00ED7F05"/>
    <w:rsid w:val="00EF20DF"/>
    <w:rsid w:val="00EF32E4"/>
    <w:rsid w:val="00EF3415"/>
    <w:rsid w:val="00EF6896"/>
    <w:rsid w:val="00EF747C"/>
    <w:rsid w:val="00F01EAE"/>
    <w:rsid w:val="00F35041"/>
    <w:rsid w:val="00F42343"/>
    <w:rsid w:val="00F5260F"/>
    <w:rsid w:val="00F65F66"/>
    <w:rsid w:val="00F86DC5"/>
    <w:rsid w:val="00F9174F"/>
    <w:rsid w:val="00F977CC"/>
    <w:rsid w:val="00FC1703"/>
    <w:rsid w:val="00FC26EE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5:docId w15:val="{42C391A0-F3CC-4A4D-A93C-62471B00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35"/>
    <w:rPr>
      <w:rFonts w:ascii="CG Times" w:hAnsi="CG Times"/>
      <w:sz w:val="22"/>
      <w:lang w:eastAsia="en-US"/>
    </w:rPr>
  </w:style>
  <w:style w:type="paragraph" w:styleId="Heading1">
    <w:name w:val="heading 1"/>
    <w:basedOn w:val="Normal"/>
    <w:next w:val="Normal"/>
    <w:qFormat/>
    <w:rsid w:val="00E90735"/>
    <w:pPr>
      <w:keepNext/>
      <w:outlineLvl w:val="0"/>
    </w:pPr>
    <w:rPr>
      <w:sz w:val="16"/>
      <w:u w:val="single"/>
    </w:rPr>
  </w:style>
  <w:style w:type="paragraph" w:styleId="Heading2">
    <w:name w:val="heading 2"/>
    <w:basedOn w:val="Normal"/>
    <w:next w:val="Normal"/>
    <w:qFormat/>
    <w:rsid w:val="00E90735"/>
    <w:pPr>
      <w:keepNext/>
      <w:tabs>
        <w:tab w:val="left" w:pos="-1620"/>
        <w:tab w:val="left" w:pos="432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90735"/>
    <w:pPr>
      <w:keepNext/>
      <w:tabs>
        <w:tab w:val="left" w:pos="-1620"/>
        <w:tab w:val="left" w:pos="720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90735"/>
    <w:pPr>
      <w:keepNext/>
      <w:tabs>
        <w:tab w:val="left" w:pos="-1620"/>
      </w:tabs>
      <w:ind w:left="432" w:hanging="432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90735"/>
    <w:pPr>
      <w:keepNext/>
      <w:tabs>
        <w:tab w:val="left" w:pos="-1620"/>
        <w:tab w:val="left" w:pos="720"/>
      </w:tabs>
      <w:ind w:left="-108" w:right="-108"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E90735"/>
    <w:pPr>
      <w:keepNext/>
      <w:tabs>
        <w:tab w:val="left" w:pos="-1620"/>
        <w:tab w:val="left" w:pos="720"/>
      </w:tabs>
      <w:ind w:left="1440" w:hanging="1440"/>
      <w:jc w:val="center"/>
      <w:outlineLvl w:val="5"/>
    </w:pPr>
    <w:rPr>
      <w:rFonts w:ascii="Times New Roman" w:hAnsi="Times New Roman"/>
      <w:b/>
      <w:sz w:val="28"/>
      <w:u w:val="single"/>
    </w:rPr>
  </w:style>
  <w:style w:type="paragraph" w:styleId="Heading7">
    <w:name w:val="heading 7"/>
    <w:basedOn w:val="Normal"/>
    <w:next w:val="Normal"/>
    <w:qFormat/>
    <w:rsid w:val="00E90735"/>
    <w:pPr>
      <w:keepNext/>
      <w:tabs>
        <w:tab w:val="left" w:pos="-1620"/>
        <w:tab w:val="left" w:pos="720"/>
      </w:tabs>
      <w:ind w:left="-108" w:right="-108"/>
      <w:jc w:val="center"/>
      <w:outlineLvl w:val="6"/>
    </w:pPr>
    <w:rPr>
      <w:rFonts w:ascii="Tahoma" w:hAnsi="Tahoma" w:cs="Tahoma"/>
      <w:b/>
      <w:sz w:val="20"/>
    </w:rPr>
  </w:style>
  <w:style w:type="paragraph" w:styleId="Heading8">
    <w:name w:val="heading 8"/>
    <w:basedOn w:val="Normal"/>
    <w:next w:val="Normal"/>
    <w:qFormat/>
    <w:rsid w:val="00E90735"/>
    <w:pPr>
      <w:keepNext/>
      <w:tabs>
        <w:tab w:val="left" w:pos="-1620"/>
        <w:tab w:val="left" w:pos="720"/>
      </w:tabs>
      <w:outlineLvl w:val="7"/>
    </w:pPr>
    <w:rPr>
      <w:rFonts w:ascii="Arial" w:hAnsi="Arial" w:cs="Arial"/>
      <w:sz w:val="18"/>
    </w:rPr>
  </w:style>
  <w:style w:type="paragraph" w:styleId="Heading9">
    <w:name w:val="heading 9"/>
    <w:basedOn w:val="Normal"/>
    <w:next w:val="Normal"/>
    <w:qFormat/>
    <w:rsid w:val="00E90735"/>
    <w:pPr>
      <w:keepNext/>
      <w:tabs>
        <w:tab w:val="left" w:pos="-1620"/>
        <w:tab w:val="left" w:pos="720"/>
      </w:tabs>
      <w:jc w:val="center"/>
      <w:outlineLvl w:val="8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E90735"/>
    <w:pPr>
      <w:tabs>
        <w:tab w:val="left" w:pos="-1620"/>
        <w:tab w:val="left" w:pos="342"/>
      </w:tabs>
      <w:ind w:left="522" w:hanging="522"/>
    </w:pPr>
    <w:rPr>
      <w:sz w:val="20"/>
      <w:lang w:eastAsia="zh-TW"/>
    </w:rPr>
  </w:style>
  <w:style w:type="paragraph" w:styleId="Header">
    <w:name w:val="header"/>
    <w:basedOn w:val="Normal"/>
    <w:rsid w:val="00E907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7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735"/>
  </w:style>
  <w:style w:type="paragraph" w:styleId="Title">
    <w:name w:val="Title"/>
    <w:basedOn w:val="Normal"/>
    <w:qFormat/>
    <w:rsid w:val="00E90735"/>
    <w:pPr>
      <w:tabs>
        <w:tab w:val="left" w:pos="-1620"/>
        <w:tab w:val="left" w:pos="720"/>
      </w:tabs>
      <w:ind w:left="1440" w:hanging="1440"/>
      <w:jc w:val="center"/>
    </w:pPr>
    <w:rPr>
      <w:b/>
    </w:rPr>
  </w:style>
  <w:style w:type="paragraph" w:styleId="BodyTextIndent">
    <w:name w:val="Body Text Indent"/>
    <w:basedOn w:val="Normal"/>
    <w:rsid w:val="00E90735"/>
    <w:pPr>
      <w:ind w:left="720" w:hanging="720"/>
    </w:pPr>
  </w:style>
  <w:style w:type="paragraph" w:styleId="BodyTextIndent2">
    <w:name w:val="Body Text Indent 2"/>
    <w:basedOn w:val="Normal"/>
    <w:rsid w:val="00E90735"/>
    <w:pPr>
      <w:tabs>
        <w:tab w:val="left" w:pos="-7758"/>
        <w:tab w:val="left" w:pos="-1620"/>
        <w:tab w:val="left" w:pos="342"/>
      </w:tabs>
      <w:ind w:left="-18"/>
    </w:pPr>
  </w:style>
  <w:style w:type="paragraph" w:styleId="BlockText">
    <w:name w:val="Block Text"/>
    <w:basedOn w:val="Normal"/>
    <w:rsid w:val="00E90735"/>
    <w:pPr>
      <w:tabs>
        <w:tab w:val="left" w:pos="-1350"/>
      </w:tabs>
      <w:ind w:left="720" w:right="-284" w:hanging="720"/>
      <w:jc w:val="both"/>
    </w:pPr>
    <w:rPr>
      <w:rFonts w:ascii="Times New Roman" w:hAnsi="Times New Roman"/>
      <w:bCs/>
      <w:sz w:val="23"/>
      <w:u w:val="single"/>
    </w:rPr>
  </w:style>
  <w:style w:type="table" w:styleId="TableGrid">
    <w:name w:val="Table Grid"/>
    <w:basedOn w:val="TableNormal"/>
    <w:rsid w:val="009F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90B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D052B3"/>
    <w:pPr>
      <w:ind w:leftChars="200" w:left="480"/>
    </w:pPr>
  </w:style>
  <w:style w:type="character" w:styleId="Emphasis">
    <w:name w:val="Emphasis"/>
    <w:basedOn w:val="DefaultParagraphFont"/>
    <w:uiPriority w:val="20"/>
    <w:qFormat/>
    <w:rsid w:val="005E3EC3"/>
    <w:rPr>
      <w:i/>
      <w:iCs/>
    </w:rPr>
  </w:style>
  <w:style w:type="paragraph" w:styleId="CommentText">
    <w:name w:val="annotation text"/>
    <w:basedOn w:val="Normal"/>
    <w:link w:val="CommentTextChar"/>
    <w:semiHidden/>
    <w:unhideWhenUsed/>
    <w:rsid w:val="005F627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27A"/>
    <w:rPr>
      <w:rFonts w:ascii="CG Times" w:hAnsi="CG 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27A"/>
    <w:pPr>
      <w:spacing w:after="160"/>
    </w:pPr>
    <w:rPr>
      <w:rFonts w:asciiTheme="minorHAnsi" w:hAnsiTheme="minorHAnsi" w:cstheme="minorBidi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27A"/>
    <w:rPr>
      <w:rFonts w:ascii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756A-C67C-4D57-9844-FE88CA32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Society of Accountants</vt:lpstr>
    </vt:vector>
  </TitlesOfParts>
  <Company>HKSA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Society of Accountants</dc:title>
  <dc:creator>Louis</dc:creator>
  <cp:lastModifiedBy>Wallace Wong</cp:lastModifiedBy>
  <cp:revision>3</cp:revision>
  <cp:lastPrinted>2022-07-12T03:54:00Z</cp:lastPrinted>
  <dcterms:created xsi:type="dcterms:W3CDTF">2023-06-30T05:37:00Z</dcterms:created>
  <dcterms:modified xsi:type="dcterms:W3CDTF">2023-06-30T05:37:00Z</dcterms:modified>
</cp:coreProperties>
</file>