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D9138" w14:textId="59E122E1" w:rsidR="00671B50" w:rsidRDefault="00006957" w:rsidP="0085362C">
      <w:pPr>
        <w:snapToGrid w:val="0"/>
        <w:spacing w:line="280" w:lineRule="atLeast"/>
        <w:jc w:val="both"/>
        <w:rPr>
          <w:rFonts w:ascii="Arial" w:hAnsi="Arial" w:cs="Arial"/>
          <w:b/>
          <w:sz w:val="22"/>
        </w:rPr>
      </w:pPr>
      <w:bookmarkStart w:id="0" w:name="_GoBack"/>
      <w:bookmarkEnd w:id="0"/>
      <w:r w:rsidRPr="00006957">
        <w:rPr>
          <w:rFonts w:ascii="Arial" w:hAnsi="Arial" w:cs="Arial"/>
          <w:b/>
          <w:sz w:val="22"/>
        </w:rPr>
        <w:t xml:space="preserve">Example AML / CTF policies and procedures </w:t>
      </w:r>
    </w:p>
    <w:p w14:paraId="4E78DED2" w14:textId="77777777" w:rsidR="00006957" w:rsidRPr="0085362C" w:rsidRDefault="00006957" w:rsidP="0085362C">
      <w:pPr>
        <w:snapToGrid w:val="0"/>
        <w:spacing w:line="280" w:lineRule="atLeast"/>
        <w:jc w:val="both"/>
        <w:rPr>
          <w:rFonts w:ascii="Arial" w:hAnsi="Arial"/>
          <w:b/>
          <w:sz w:val="22"/>
        </w:rPr>
      </w:pPr>
    </w:p>
    <w:tbl>
      <w:tblPr>
        <w:tblStyle w:val="TableGrid2"/>
        <w:tblW w:w="0" w:type="auto"/>
        <w:tblLook w:val="04A0" w:firstRow="1" w:lastRow="0" w:firstColumn="1" w:lastColumn="0" w:noHBand="0" w:noVBand="1"/>
      </w:tblPr>
      <w:tblGrid>
        <w:gridCol w:w="8296"/>
      </w:tblGrid>
      <w:tr w:rsidR="00C50BC9" w:rsidRPr="006F280F" w14:paraId="688413C0" w14:textId="77777777" w:rsidTr="00C50BC9">
        <w:tc>
          <w:tcPr>
            <w:tcW w:w="8296" w:type="dxa"/>
          </w:tcPr>
          <w:p w14:paraId="6467430C" w14:textId="77777777" w:rsidR="00C50BC9" w:rsidRPr="006F280F" w:rsidRDefault="00C50BC9" w:rsidP="006D55FB">
            <w:pPr>
              <w:snapToGrid w:val="0"/>
              <w:spacing w:line="280" w:lineRule="atLeast"/>
              <w:jc w:val="both"/>
              <w:rPr>
                <w:rFonts w:ascii="Arial" w:hAnsi="Arial" w:cs="Arial"/>
                <w:i/>
                <w:sz w:val="22"/>
              </w:rPr>
            </w:pPr>
            <w:r w:rsidRPr="006F280F">
              <w:rPr>
                <w:rFonts w:ascii="Arial" w:hAnsi="Arial" w:cs="Arial"/>
                <w:b/>
                <w:i/>
                <w:sz w:val="22"/>
              </w:rPr>
              <w:t>Note:</w:t>
            </w:r>
            <w:r w:rsidRPr="006F280F">
              <w:rPr>
                <w:rFonts w:ascii="Arial" w:hAnsi="Arial" w:cs="Arial"/>
                <w:i/>
                <w:sz w:val="22"/>
              </w:rPr>
              <w:t xml:space="preserve"> This example policy is a modified version of the example policy set out as “T01 Example policies and procedures” in the AML Procedures Manual published by the Institute for a practice that chooses not to adopt “good practices”. The following policies and procedures should be further tailored to the circumstances of your practice before use in practice. </w:t>
            </w:r>
          </w:p>
        </w:tc>
      </w:tr>
    </w:tbl>
    <w:p w14:paraId="41D3DA10" w14:textId="77777777" w:rsidR="00006957" w:rsidRDefault="00006957" w:rsidP="00A031BD">
      <w:pPr>
        <w:snapToGrid w:val="0"/>
        <w:spacing w:line="280" w:lineRule="atLeast"/>
        <w:jc w:val="both"/>
        <w:rPr>
          <w:rFonts w:ascii="Arial" w:hAnsi="Arial" w:cs="Arial"/>
          <w:sz w:val="22"/>
        </w:rPr>
      </w:pPr>
    </w:p>
    <w:p w14:paraId="7761692E" w14:textId="3A42ADDC" w:rsidR="00006957" w:rsidRDefault="00020DE7" w:rsidP="00A031BD">
      <w:pPr>
        <w:snapToGrid w:val="0"/>
        <w:spacing w:line="280" w:lineRule="atLeast"/>
        <w:jc w:val="both"/>
        <w:rPr>
          <w:rFonts w:ascii="Arial" w:hAnsi="Arial" w:cs="Arial"/>
          <w:sz w:val="22"/>
        </w:rPr>
      </w:pPr>
      <w:r>
        <w:rPr>
          <w:rFonts w:ascii="Arial" w:hAnsi="Arial" w:cs="Arial"/>
          <w:sz w:val="22"/>
        </w:rPr>
        <w:t>Practice Unit: ______________________</w:t>
      </w:r>
    </w:p>
    <w:p w14:paraId="2B14940F" w14:textId="05BADA71" w:rsidR="007F2828" w:rsidRDefault="007F2828" w:rsidP="00A031BD">
      <w:pPr>
        <w:snapToGrid w:val="0"/>
        <w:spacing w:line="280" w:lineRule="atLeast"/>
        <w:jc w:val="both"/>
        <w:rPr>
          <w:rFonts w:ascii="Arial" w:hAnsi="Arial" w:cs="Arial"/>
          <w:sz w:val="22"/>
        </w:rPr>
      </w:pPr>
      <w:r>
        <w:rPr>
          <w:rFonts w:ascii="Arial" w:hAnsi="Arial" w:cs="Arial"/>
          <w:sz w:val="22"/>
        </w:rPr>
        <w:t>Money Laundering Reporting Officer: ______________________</w:t>
      </w:r>
    </w:p>
    <w:p w14:paraId="159F4A32" w14:textId="1B8738D3" w:rsidR="007F2828" w:rsidRDefault="007F2828" w:rsidP="00A031BD">
      <w:pPr>
        <w:snapToGrid w:val="0"/>
        <w:spacing w:line="280" w:lineRule="atLeast"/>
        <w:jc w:val="both"/>
        <w:rPr>
          <w:rFonts w:ascii="Arial" w:hAnsi="Arial" w:cs="Arial"/>
          <w:sz w:val="22"/>
        </w:rPr>
      </w:pPr>
      <w:r>
        <w:rPr>
          <w:rFonts w:ascii="Arial" w:hAnsi="Arial" w:cs="Arial"/>
          <w:sz w:val="22"/>
        </w:rPr>
        <w:t>AML Compliance Officer: ______________________</w:t>
      </w:r>
    </w:p>
    <w:p w14:paraId="6F0D13F3" w14:textId="0E470514" w:rsidR="00020DE7" w:rsidRDefault="00020DE7" w:rsidP="0085362C">
      <w:pPr>
        <w:snapToGrid w:val="0"/>
        <w:spacing w:line="280" w:lineRule="atLeast"/>
        <w:jc w:val="both"/>
        <w:rPr>
          <w:rFonts w:ascii="Arial" w:hAnsi="Arial" w:cs="Arial"/>
          <w:sz w:val="22"/>
        </w:rPr>
      </w:pPr>
    </w:p>
    <w:p w14:paraId="63C3566C" w14:textId="088AC7EA" w:rsidR="00020DE7" w:rsidRPr="00A031BD" w:rsidRDefault="00020DE7" w:rsidP="0085362C">
      <w:pPr>
        <w:pStyle w:val="ListParagraph"/>
        <w:numPr>
          <w:ilvl w:val="0"/>
          <w:numId w:val="10"/>
        </w:numPr>
        <w:snapToGrid w:val="0"/>
        <w:spacing w:line="280" w:lineRule="atLeast"/>
        <w:ind w:left="360"/>
        <w:jc w:val="both"/>
        <w:rPr>
          <w:rFonts w:ascii="Arial" w:hAnsi="Arial" w:cs="Arial"/>
          <w:b/>
          <w:i/>
          <w:szCs w:val="24"/>
        </w:rPr>
      </w:pPr>
      <w:r w:rsidRPr="00A031BD">
        <w:rPr>
          <w:rFonts w:ascii="Arial" w:hAnsi="Arial" w:cs="Arial"/>
          <w:b/>
          <w:i/>
          <w:szCs w:val="24"/>
        </w:rPr>
        <w:t>Policy statement</w:t>
      </w:r>
    </w:p>
    <w:p w14:paraId="088E0FB6" w14:textId="77777777" w:rsidR="008C3E0E" w:rsidRPr="008C3E0E" w:rsidRDefault="008C3E0E" w:rsidP="0085362C">
      <w:pPr>
        <w:snapToGrid w:val="0"/>
        <w:spacing w:line="280" w:lineRule="atLeast"/>
        <w:jc w:val="both"/>
        <w:rPr>
          <w:rFonts w:ascii="Arial" w:hAnsi="Arial" w:cs="Arial"/>
          <w:b/>
          <w:sz w:val="22"/>
        </w:rPr>
      </w:pPr>
    </w:p>
    <w:p w14:paraId="769FAEF0" w14:textId="4DEFEB31" w:rsidR="00020DE7" w:rsidRPr="005D785E" w:rsidRDefault="005D785E" w:rsidP="0085362C">
      <w:pPr>
        <w:snapToGrid w:val="0"/>
        <w:spacing w:line="280" w:lineRule="atLeast"/>
        <w:jc w:val="both"/>
        <w:rPr>
          <w:rFonts w:ascii="Arial" w:hAnsi="Arial" w:cs="Arial"/>
          <w:sz w:val="22"/>
        </w:rPr>
      </w:pPr>
      <w:r w:rsidRPr="005D785E">
        <w:rPr>
          <w:rFonts w:ascii="Arial" w:hAnsi="Arial" w:cs="Arial"/>
          <w:sz w:val="22"/>
          <w:lang w:eastAsia="zh-HK"/>
        </w:rPr>
        <w:t>The practice has a policy of zero tolerance to any i</w:t>
      </w:r>
      <w:r w:rsidR="00A031BD">
        <w:rPr>
          <w:rFonts w:ascii="Arial" w:hAnsi="Arial" w:cs="Arial"/>
          <w:sz w:val="22"/>
          <w:lang w:eastAsia="zh-HK"/>
        </w:rPr>
        <w:t xml:space="preserve">nvolvement in money laundering, </w:t>
      </w:r>
      <w:r w:rsidRPr="005D785E">
        <w:rPr>
          <w:rFonts w:ascii="Arial" w:hAnsi="Arial" w:cs="Arial"/>
          <w:sz w:val="22"/>
          <w:lang w:eastAsia="zh-HK"/>
        </w:rPr>
        <w:t xml:space="preserve">including tax evasion, when dealing with the practice’s own or our client’s affairs. All principals, employees and any sub-contractors used by the practice are therefore required to comply with relevant legislation on anti-money laundering and counter-terrorist financing (see </w:t>
      </w:r>
      <w:r w:rsidR="00536C19">
        <w:rPr>
          <w:rFonts w:ascii="Arial" w:hAnsi="Arial" w:cs="Arial"/>
          <w:sz w:val="22"/>
          <w:lang w:eastAsia="zh-HK"/>
        </w:rPr>
        <w:t>S</w:t>
      </w:r>
      <w:r w:rsidRPr="005D785E">
        <w:rPr>
          <w:rFonts w:ascii="Arial" w:hAnsi="Arial" w:cs="Arial"/>
          <w:sz w:val="22"/>
          <w:lang w:eastAsia="zh-HK"/>
        </w:rPr>
        <w:t xml:space="preserve">ection </w:t>
      </w:r>
      <w:r w:rsidR="00536C19">
        <w:rPr>
          <w:rFonts w:ascii="Arial" w:hAnsi="Arial" w:cs="Arial"/>
          <w:sz w:val="22"/>
          <w:lang w:eastAsia="zh-HK"/>
        </w:rPr>
        <w:t xml:space="preserve">I </w:t>
      </w:r>
      <w:r w:rsidRPr="005D785E">
        <w:rPr>
          <w:rFonts w:ascii="Arial" w:hAnsi="Arial" w:cs="Arial"/>
          <w:sz w:val="22"/>
          <w:lang w:eastAsia="zh-HK"/>
        </w:rPr>
        <w:t xml:space="preserve">below on staff training and hiring) and the code of ethics of the Hong Kong Institute of Certified Public Accountants (HKICPA) and in particular, Part F of the code, "Guidelines on Anti-Money Laundering and Counter-Terrorist Financing for Professional Accountants". Accordingly, it is the policy of the practice to apply </w:t>
      </w:r>
      <w:r w:rsidR="00447317">
        <w:rPr>
          <w:rFonts w:ascii="Arial" w:hAnsi="Arial" w:cs="Arial"/>
          <w:sz w:val="22"/>
          <w:lang w:eastAsia="zh-HK"/>
        </w:rPr>
        <w:t xml:space="preserve">suspicious transaction reporting and financial sanctions related procedures to all clients but all other policies and procedures, in particular </w:t>
      </w:r>
      <w:r w:rsidRPr="005D785E">
        <w:rPr>
          <w:rFonts w:ascii="Arial" w:hAnsi="Arial" w:cs="Arial"/>
          <w:sz w:val="22"/>
          <w:lang w:eastAsia="zh-HK"/>
        </w:rPr>
        <w:t xml:space="preserve">the customer due diligence (CDD) and ongoing monitoring procedures specified </w:t>
      </w:r>
      <w:r w:rsidR="007F2828">
        <w:rPr>
          <w:rFonts w:ascii="Arial" w:hAnsi="Arial" w:cs="Arial"/>
          <w:sz w:val="22"/>
          <w:lang w:eastAsia="zh-HK"/>
        </w:rPr>
        <w:t>in Sections F and G</w:t>
      </w:r>
      <w:r w:rsidR="00536C19">
        <w:rPr>
          <w:rFonts w:ascii="Arial" w:hAnsi="Arial" w:cs="Arial"/>
          <w:sz w:val="22"/>
          <w:lang w:eastAsia="zh-HK"/>
        </w:rPr>
        <w:t xml:space="preserve"> </w:t>
      </w:r>
      <w:r w:rsidRPr="005D785E">
        <w:rPr>
          <w:rFonts w:ascii="Arial" w:hAnsi="Arial" w:cs="Arial"/>
          <w:sz w:val="22"/>
          <w:lang w:eastAsia="zh-HK"/>
        </w:rPr>
        <w:t>below</w:t>
      </w:r>
      <w:r w:rsidR="00447317">
        <w:rPr>
          <w:rFonts w:ascii="Arial" w:hAnsi="Arial" w:cs="Arial"/>
          <w:sz w:val="22"/>
          <w:lang w:eastAsia="zh-HK"/>
        </w:rPr>
        <w:t>,</w:t>
      </w:r>
      <w:r w:rsidRPr="005D785E">
        <w:rPr>
          <w:rFonts w:ascii="Arial" w:hAnsi="Arial" w:cs="Arial"/>
          <w:sz w:val="22"/>
          <w:lang w:eastAsia="zh-HK"/>
        </w:rPr>
        <w:t xml:space="preserve"> </w:t>
      </w:r>
      <w:r w:rsidR="00447317">
        <w:rPr>
          <w:rFonts w:ascii="Arial" w:hAnsi="Arial" w:cs="Arial"/>
          <w:sz w:val="22"/>
          <w:lang w:eastAsia="zh-HK"/>
        </w:rPr>
        <w:t xml:space="preserve">only </w:t>
      </w:r>
      <w:r w:rsidR="00A3597E" w:rsidRPr="005D785E">
        <w:rPr>
          <w:rFonts w:ascii="Arial" w:hAnsi="Arial" w:cs="Arial"/>
          <w:sz w:val="22"/>
          <w:lang w:eastAsia="zh-HK"/>
        </w:rPr>
        <w:t xml:space="preserve">to </w:t>
      </w:r>
      <w:r w:rsidRPr="005D785E">
        <w:rPr>
          <w:rFonts w:ascii="Arial" w:hAnsi="Arial" w:cs="Arial"/>
          <w:sz w:val="22"/>
          <w:lang w:eastAsia="zh-HK"/>
        </w:rPr>
        <w:t>clients</w:t>
      </w:r>
      <w:r w:rsidR="00E71DE2">
        <w:rPr>
          <w:rFonts w:ascii="Arial" w:hAnsi="Arial" w:cs="Arial"/>
          <w:sz w:val="22"/>
          <w:lang w:eastAsia="zh-HK"/>
        </w:rPr>
        <w:t>, whether new or existing clients,</w:t>
      </w:r>
      <w:r w:rsidRPr="005D785E">
        <w:rPr>
          <w:rFonts w:ascii="Arial" w:hAnsi="Arial" w:cs="Arial"/>
          <w:sz w:val="22"/>
          <w:lang w:eastAsia="zh-HK"/>
        </w:rPr>
        <w:t xml:space="preserve"> whose engagements involve the following:</w:t>
      </w:r>
    </w:p>
    <w:p w14:paraId="63DF3903" w14:textId="77777777" w:rsidR="00370836" w:rsidRPr="00020DE7" w:rsidRDefault="00370836" w:rsidP="0085362C">
      <w:pPr>
        <w:snapToGrid w:val="0"/>
        <w:spacing w:line="280" w:lineRule="atLeast"/>
        <w:jc w:val="both"/>
        <w:rPr>
          <w:rFonts w:ascii="Arial" w:hAnsi="Arial" w:cs="Arial"/>
          <w:sz w:val="22"/>
        </w:rPr>
      </w:pPr>
    </w:p>
    <w:p w14:paraId="6707243F" w14:textId="0F01FDB6"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buying and selling of real estate;</w:t>
      </w:r>
    </w:p>
    <w:p w14:paraId="180676DB" w14:textId="49B0A6BA"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managing of client money, securities or other assets;</w:t>
      </w:r>
    </w:p>
    <w:p w14:paraId="4B0A6D99" w14:textId="2E07B2B1"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management of bank, savings or securities accounts;</w:t>
      </w:r>
    </w:p>
    <w:p w14:paraId="6A1B6FB4" w14:textId="073D2846"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organisation of contributions for the creation, operation or management of companies;</w:t>
      </w:r>
    </w:p>
    <w:p w14:paraId="39994686" w14:textId="5FCC4D1F"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creation, operation or management of legal persons or arrangements;</w:t>
      </w:r>
    </w:p>
    <w:p w14:paraId="48335F5E" w14:textId="0A74914F"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buying and selling of business entities.</w:t>
      </w:r>
    </w:p>
    <w:p w14:paraId="75DE6712" w14:textId="259F704B"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forming corporations or other legal persons;</w:t>
      </w:r>
    </w:p>
    <w:p w14:paraId="5A68D9FA" w14:textId="46E7D813"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acting as, or arranging for another person to act as, a director or secretary of a company, a partner</w:t>
      </w:r>
      <w:r w:rsidR="00370836" w:rsidRPr="00A031BD">
        <w:rPr>
          <w:rFonts w:ascii="Arial" w:hAnsi="Arial" w:cs="Arial"/>
          <w:sz w:val="22"/>
        </w:rPr>
        <w:t xml:space="preserve"> </w:t>
      </w:r>
      <w:r w:rsidRPr="00A031BD">
        <w:rPr>
          <w:rFonts w:ascii="Arial" w:hAnsi="Arial" w:cs="Arial"/>
          <w:sz w:val="22"/>
        </w:rPr>
        <w:t>of a partnership, or a similar position in relation to other legal persons;</w:t>
      </w:r>
    </w:p>
    <w:p w14:paraId="41B78057" w14:textId="3D7C8953"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providing a registered office, business address or accommodation, correspondence or administrative</w:t>
      </w:r>
      <w:r w:rsidR="00370836" w:rsidRPr="00A031BD">
        <w:rPr>
          <w:rFonts w:ascii="Arial" w:hAnsi="Arial" w:cs="Arial"/>
          <w:sz w:val="22"/>
        </w:rPr>
        <w:t xml:space="preserve"> </w:t>
      </w:r>
      <w:r w:rsidRPr="00A031BD">
        <w:rPr>
          <w:rFonts w:ascii="Arial" w:hAnsi="Arial" w:cs="Arial"/>
          <w:sz w:val="22"/>
        </w:rPr>
        <w:t>address for a company, a partnership or any other legal person or arrangement;</w:t>
      </w:r>
    </w:p>
    <w:p w14:paraId="5D74A1F7" w14:textId="27ADC4AA"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acting as, or arranging for another person to act as, a trustee of an express trust or similar legal</w:t>
      </w:r>
      <w:r w:rsidR="00370836" w:rsidRPr="00A031BD">
        <w:rPr>
          <w:rFonts w:ascii="Arial" w:hAnsi="Arial" w:cs="Arial"/>
          <w:sz w:val="22"/>
        </w:rPr>
        <w:t xml:space="preserve"> </w:t>
      </w:r>
      <w:r w:rsidRPr="00A031BD">
        <w:rPr>
          <w:rFonts w:ascii="Arial" w:hAnsi="Arial" w:cs="Arial"/>
          <w:sz w:val="22"/>
        </w:rPr>
        <w:t>arrangement; or</w:t>
      </w:r>
    </w:p>
    <w:p w14:paraId="7EB3D6BD" w14:textId="1B8542C0" w:rsidR="00020DE7" w:rsidRPr="00A031BD" w:rsidRDefault="00020DE7" w:rsidP="0085362C">
      <w:pPr>
        <w:pStyle w:val="ListParagraph"/>
        <w:numPr>
          <w:ilvl w:val="0"/>
          <w:numId w:val="8"/>
        </w:numPr>
        <w:tabs>
          <w:tab w:val="left" w:pos="450"/>
        </w:tabs>
        <w:snapToGrid w:val="0"/>
        <w:spacing w:line="280" w:lineRule="atLeast"/>
        <w:ind w:left="450" w:hanging="450"/>
        <w:jc w:val="both"/>
        <w:rPr>
          <w:rFonts w:ascii="Arial" w:hAnsi="Arial" w:cs="Arial"/>
          <w:sz w:val="22"/>
        </w:rPr>
      </w:pPr>
      <w:r w:rsidRPr="00A031BD">
        <w:rPr>
          <w:rFonts w:ascii="Arial" w:hAnsi="Arial" w:cs="Arial"/>
          <w:sz w:val="22"/>
        </w:rPr>
        <w:t>acting, or arranging for another person to act, as a nominee shareholder for a person other than a</w:t>
      </w:r>
      <w:r w:rsidR="00370836" w:rsidRPr="00A031BD">
        <w:rPr>
          <w:rFonts w:ascii="Arial" w:hAnsi="Arial" w:cs="Arial"/>
          <w:sz w:val="22"/>
        </w:rPr>
        <w:t xml:space="preserve"> </w:t>
      </w:r>
      <w:r w:rsidRPr="00A031BD">
        <w:rPr>
          <w:rFonts w:ascii="Arial" w:hAnsi="Arial" w:cs="Arial"/>
          <w:sz w:val="22"/>
        </w:rPr>
        <w:t>corporation whose securities are listed on a recognised stock market.</w:t>
      </w:r>
    </w:p>
    <w:p w14:paraId="7E2FE2FB" w14:textId="77777777" w:rsidR="00370836" w:rsidRDefault="00370836" w:rsidP="0085362C">
      <w:pPr>
        <w:snapToGrid w:val="0"/>
        <w:spacing w:line="280" w:lineRule="atLeast"/>
        <w:jc w:val="both"/>
        <w:rPr>
          <w:rFonts w:ascii="Arial" w:hAnsi="Arial" w:cs="Arial"/>
          <w:sz w:val="22"/>
        </w:rPr>
      </w:pPr>
    </w:p>
    <w:p w14:paraId="7482B99D" w14:textId="77A4E4A8" w:rsidR="00020DE7" w:rsidRDefault="00020DE7" w:rsidP="0085362C">
      <w:pPr>
        <w:snapToGrid w:val="0"/>
        <w:spacing w:line="280" w:lineRule="atLeast"/>
        <w:jc w:val="both"/>
        <w:rPr>
          <w:rFonts w:ascii="Arial" w:hAnsi="Arial" w:cs="Arial"/>
          <w:sz w:val="22"/>
        </w:rPr>
      </w:pPr>
      <w:r w:rsidRPr="00020DE7">
        <w:rPr>
          <w:rFonts w:ascii="Arial" w:hAnsi="Arial" w:cs="Arial"/>
          <w:sz w:val="22"/>
        </w:rPr>
        <w:t xml:space="preserve">All principals, employees and any sub-contractors are expected to report any </w:t>
      </w:r>
      <w:r w:rsidRPr="00020DE7">
        <w:rPr>
          <w:rFonts w:ascii="Arial" w:hAnsi="Arial" w:cs="Arial"/>
          <w:sz w:val="22"/>
        </w:rPr>
        <w:lastRenderedPageBreak/>
        <w:t xml:space="preserve">knowledge or </w:t>
      </w:r>
      <w:r w:rsidR="00370836" w:rsidRPr="00020DE7">
        <w:rPr>
          <w:rFonts w:ascii="Arial" w:hAnsi="Arial" w:cs="Arial"/>
          <w:sz w:val="22"/>
        </w:rPr>
        <w:t>suspicions</w:t>
      </w:r>
      <w:r w:rsidRPr="00020DE7">
        <w:rPr>
          <w:rFonts w:ascii="Arial" w:hAnsi="Arial" w:cs="Arial"/>
          <w:sz w:val="22"/>
        </w:rPr>
        <w:t xml:space="preserve"> of</w:t>
      </w:r>
      <w:r w:rsidR="00370836">
        <w:rPr>
          <w:rFonts w:ascii="Arial" w:hAnsi="Arial" w:cs="Arial"/>
          <w:sz w:val="22"/>
        </w:rPr>
        <w:t xml:space="preserve"> </w:t>
      </w:r>
      <w:r w:rsidRPr="00020DE7">
        <w:rPr>
          <w:rFonts w:ascii="Arial" w:hAnsi="Arial" w:cs="Arial"/>
          <w:sz w:val="22"/>
        </w:rPr>
        <w:t>money laundering, including tax evasion, to the practice’s Money Laundering Reporting Officer (MLRO) in</w:t>
      </w:r>
      <w:r w:rsidR="00370836">
        <w:rPr>
          <w:rFonts w:ascii="Arial" w:hAnsi="Arial" w:cs="Arial"/>
          <w:sz w:val="22"/>
        </w:rPr>
        <w:t xml:space="preserve"> </w:t>
      </w:r>
      <w:r w:rsidRPr="00020DE7">
        <w:rPr>
          <w:rFonts w:ascii="Arial" w:hAnsi="Arial" w:cs="Arial"/>
          <w:sz w:val="22"/>
        </w:rPr>
        <w:t>accordance with their statutory obligations.</w:t>
      </w:r>
    </w:p>
    <w:p w14:paraId="0BE4F446" w14:textId="77777777" w:rsidR="004E6EE3" w:rsidRDefault="004E6EE3" w:rsidP="0085362C">
      <w:pPr>
        <w:snapToGrid w:val="0"/>
        <w:spacing w:line="280" w:lineRule="atLeast"/>
        <w:jc w:val="both"/>
        <w:rPr>
          <w:rFonts w:ascii="Arial" w:hAnsi="Arial" w:cs="Arial"/>
          <w:sz w:val="22"/>
        </w:rPr>
      </w:pPr>
    </w:p>
    <w:p w14:paraId="5B066507" w14:textId="77777777" w:rsidR="004E6EE3" w:rsidRPr="00A031BD" w:rsidRDefault="004E6EE3" w:rsidP="0085362C">
      <w:pPr>
        <w:pStyle w:val="ListParagraph"/>
        <w:numPr>
          <w:ilvl w:val="0"/>
          <w:numId w:val="10"/>
        </w:numPr>
        <w:snapToGrid w:val="0"/>
        <w:spacing w:line="280" w:lineRule="atLeast"/>
        <w:ind w:left="360"/>
        <w:jc w:val="both"/>
        <w:rPr>
          <w:rFonts w:ascii="Arial" w:hAnsi="Arial" w:cs="Arial"/>
          <w:b/>
          <w:i/>
        </w:rPr>
      </w:pPr>
      <w:r w:rsidRPr="00A031BD">
        <w:rPr>
          <w:rFonts w:ascii="Arial" w:hAnsi="Arial" w:cs="Arial"/>
          <w:b/>
          <w:i/>
        </w:rPr>
        <w:t>Risk assessment and management</w:t>
      </w:r>
    </w:p>
    <w:p w14:paraId="1F5E992F" w14:textId="77777777" w:rsidR="004E6EE3" w:rsidRPr="00370836" w:rsidRDefault="004E6EE3" w:rsidP="0085362C">
      <w:pPr>
        <w:snapToGrid w:val="0"/>
        <w:spacing w:line="280" w:lineRule="atLeast"/>
        <w:jc w:val="both"/>
        <w:rPr>
          <w:rFonts w:ascii="Arial" w:hAnsi="Arial" w:cs="Arial"/>
          <w:b/>
          <w:i/>
        </w:rPr>
      </w:pPr>
    </w:p>
    <w:p w14:paraId="0B27592C" w14:textId="77777777" w:rsidR="004E6EE3" w:rsidRDefault="004E6EE3" w:rsidP="0085362C">
      <w:pPr>
        <w:snapToGrid w:val="0"/>
        <w:spacing w:line="280" w:lineRule="atLeast"/>
        <w:jc w:val="both"/>
        <w:rPr>
          <w:rFonts w:ascii="Arial" w:hAnsi="Arial" w:cs="Arial"/>
          <w:sz w:val="22"/>
        </w:rPr>
      </w:pPr>
      <w:r w:rsidRPr="00020DE7">
        <w:rPr>
          <w:rFonts w:ascii="Arial" w:hAnsi="Arial" w:cs="Arial"/>
          <w:sz w:val="22"/>
        </w:rPr>
        <w:t>Among the risks facing the practice are:</w:t>
      </w:r>
    </w:p>
    <w:p w14:paraId="7F94B031" w14:textId="77777777" w:rsidR="004E6EE3" w:rsidRPr="00020DE7" w:rsidRDefault="004E6EE3" w:rsidP="0085362C">
      <w:pPr>
        <w:snapToGrid w:val="0"/>
        <w:spacing w:line="280" w:lineRule="atLeast"/>
        <w:jc w:val="both"/>
        <w:rPr>
          <w:rFonts w:ascii="Arial" w:hAnsi="Arial" w:cs="Arial"/>
          <w:sz w:val="22"/>
        </w:rPr>
      </w:pPr>
    </w:p>
    <w:p w14:paraId="06384562" w14:textId="77777777" w:rsidR="004E6EE3" w:rsidRPr="00370836" w:rsidRDefault="004E6EE3" w:rsidP="0085362C">
      <w:pPr>
        <w:pStyle w:val="ListParagraph"/>
        <w:numPr>
          <w:ilvl w:val="0"/>
          <w:numId w:val="2"/>
        </w:numPr>
        <w:snapToGrid w:val="0"/>
        <w:spacing w:line="280" w:lineRule="atLeast"/>
        <w:contextualSpacing w:val="0"/>
        <w:jc w:val="both"/>
        <w:rPr>
          <w:rFonts w:ascii="Arial" w:hAnsi="Arial" w:cs="Arial"/>
          <w:sz w:val="22"/>
        </w:rPr>
      </w:pPr>
      <w:r w:rsidRPr="00370836">
        <w:rPr>
          <w:rFonts w:ascii="Arial" w:hAnsi="Arial" w:cs="Arial" w:hint="eastAsia"/>
          <w:sz w:val="22"/>
        </w:rPr>
        <w:t>Involvement of clients in:</w:t>
      </w:r>
    </w:p>
    <w:p w14:paraId="37CA8490" w14:textId="77777777" w:rsidR="004E6EE3" w:rsidRPr="00370836" w:rsidRDefault="004E6EE3" w:rsidP="0085362C">
      <w:pPr>
        <w:pStyle w:val="ListParagraph"/>
        <w:numPr>
          <w:ilvl w:val="0"/>
          <w:numId w:val="3"/>
        </w:numPr>
        <w:snapToGrid w:val="0"/>
        <w:spacing w:line="280" w:lineRule="atLeast"/>
        <w:contextualSpacing w:val="0"/>
        <w:jc w:val="both"/>
        <w:rPr>
          <w:rFonts w:ascii="Arial" w:hAnsi="Arial" w:cs="Arial"/>
          <w:sz w:val="22"/>
        </w:rPr>
      </w:pPr>
      <w:r w:rsidRPr="00370836">
        <w:rPr>
          <w:rFonts w:ascii="Arial" w:hAnsi="Arial" w:cs="Arial"/>
          <w:sz w:val="22"/>
        </w:rPr>
        <w:t>Tax evasion such as that specified in Section 82 of the Inland Revenue Ordinance.</w:t>
      </w:r>
    </w:p>
    <w:p w14:paraId="6F4C587C" w14:textId="77777777" w:rsidR="004E6EE3" w:rsidRPr="00020DE7" w:rsidRDefault="004E6EE3" w:rsidP="0085362C">
      <w:pPr>
        <w:pStyle w:val="ListParagraph"/>
        <w:numPr>
          <w:ilvl w:val="0"/>
          <w:numId w:val="3"/>
        </w:numPr>
        <w:snapToGrid w:val="0"/>
        <w:spacing w:line="280" w:lineRule="atLeast"/>
        <w:contextualSpacing w:val="0"/>
        <w:jc w:val="both"/>
        <w:rPr>
          <w:rFonts w:ascii="Arial" w:hAnsi="Arial" w:cs="Arial"/>
          <w:sz w:val="22"/>
        </w:rPr>
      </w:pPr>
      <w:r w:rsidRPr="00020DE7">
        <w:rPr>
          <w:rFonts w:ascii="Arial" w:hAnsi="Arial" w:cs="Arial"/>
          <w:sz w:val="22"/>
        </w:rPr>
        <w:t>Fraud or false accounting under Sections 16A or 19 respectively of the Theft Ordinance.</w:t>
      </w:r>
    </w:p>
    <w:p w14:paraId="5EEB7485" w14:textId="081E9FEE" w:rsidR="004E6EE3" w:rsidRPr="00370836" w:rsidRDefault="004E6EE3" w:rsidP="0085362C">
      <w:pPr>
        <w:pStyle w:val="ListParagraph"/>
        <w:numPr>
          <w:ilvl w:val="0"/>
          <w:numId w:val="3"/>
        </w:numPr>
        <w:snapToGrid w:val="0"/>
        <w:spacing w:line="280" w:lineRule="atLeast"/>
        <w:contextualSpacing w:val="0"/>
        <w:jc w:val="both"/>
        <w:rPr>
          <w:rFonts w:ascii="Arial" w:hAnsi="Arial" w:cs="Arial"/>
          <w:sz w:val="22"/>
        </w:rPr>
      </w:pPr>
      <w:r w:rsidRPr="00020DE7">
        <w:rPr>
          <w:rFonts w:ascii="Arial" w:hAnsi="Arial" w:cs="Arial"/>
          <w:sz w:val="22"/>
        </w:rPr>
        <w:t>Dealing in property known or believed to represent the proceeds of an indictable offence</w:t>
      </w:r>
      <w:r>
        <w:rPr>
          <w:rFonts w:ascii="Arial" w:hAnsi="Arial" w:cs="Arial"/>
          <w:sz w:val="22"/>
        </w:rPr>
        <w:t xml:space="preserve"> </w:t>
      </w:r>
      <w:r w:rsidRPr="00370836">
        <w:rPr>
          <w:rFonts w:ascii="Arial" w:hAnsi="Arial" w:cs="Arial"/>
          <w:sz w:val="22"/>
        </w:rPr>
        <w:t xml:space="preserve">under Section 25(1) of the Organized and Serious Crimes Ordinance </w:t>
      </w:r>
      <w:r w:rsidR="00A82862">
        <w:rPr>
          <w:rFonts w:ascii="Arial" w:hAnsi="Arial" w:cs="Arial"/>
          <w:sz w:val="22"/>
        </w:rPr>
        <w:t xml:space="preserve">(“OSCO”,) </w:t>
      </w:r>
      <w:r w:rsidRPr="00370836">
        <w:rPr>
          <w:rFonts w:ascii="Arial" w:hAnsi="Arial" w:cs="Arial"/>
          <w:sz w:val="22"/>
        </w:rPr>
        <w:t>or drug trafficking</w:t>
      </w:r>
      <w:r>
        <w:rPr>
          <w:rFonts w:ascii="Arial" w:hAnsi="Arial" w:cs="Arial"/>
          <w:sz w:val="22"/>
        </w:rPr>
        <w:t xml:space="preserve"> </w:t>
      </w:r>
      <w:r w:rsidRPr="00370836">
        <w:rPr>
          <w:rFonts w:ascii="Arial" w:hAnsi="Arial" w:cs="Arial"/>
          <w:sz w:val="22"/>
        </w:rPr>
        <w:t>under Section 25(1) of the Drug Trafficking (Recovery of Proceeds) Ordinance</w:t>
      </w:r>
      <w:r w:rsidR="00A82862">
        <w:rPr>
          <w:rFonts w:ascii="Arial" w:hAnsi="Arial" w:cs="Arial"/>
          <w:sz w:val="22"/>
        </w:rPr>
        <w:t xml:space="preserve"> (“DTROP”)</w:t>
      </w:r>
      <w:r w:rsidR="00FD20CA">
        <w:rPr>
          <w:rFonts w:ascii="Arial" w:hAnsi="Arial" w:cs="Arial"/>
          <w:sz w:val="22"/>
        </w:rPr>
        <w:t xml:space="preserve"> (and “property” has a broad definition under the relevant legislation)</w:t>
      </w:r>
    </w:p>
    <w:p w14:paraId="09E20CAE" w14:textId="6E340D72" w:rsidR="004E6EE3" w:rsidRDefault="004E6EE3" w:rsidP="0085362C">
      <w:pPr>
        <w:pStyle w:val="ListParagraph"/>
        <w:numPr>
          <w:ilvl w:val="0"/>
          <w:numId w:val="3"/>
        </w:numPr>
        <w:snapToGrid w:val="0"/>
        <w:spacing w:line="280" w:lineRule="atLeast"/>
        <w:contextualSpacing w:val="0"/>
        <w:jc w:val="both"/>
        <w:rPr>
          <w:rFonts w:ascii="Arial" w:hAnsi="Arial" w:cs="Arial"/>
          <w:sz w:val="22"/>
        </w:rPr>
      </w:pPr>
      <w:r w:rsidRPr="00020DE7">
        <w:rPr>
          <w:rFonts w:ascii="Arial" w:hAnsi="Arial" w:cs="Arial"/>
          <w:sz w:val="22"/>
        </w:rPr>
        <w:t>Various bribery offences under the Prevention of Bribery Ordinance.</w:t>
      </w:r>
    </w:p>
    <w:p w14:paraId="5DF4B3CA" w14:textId="468C6155" w:rsidR="00A82862" w:rsidRDefault="00A82862" w:rsidP="0085362C">
      <w:pPr>
        <w:pStyle w:val="ListParagraph"/>
        <w:numPr>
          <w:ilvl w:val="0"/>
          <w:numId w:val="3"/>
        </w:numPr>
        <w:snapToGrid w:val="0"/>
        <w:spacing w:line="280" w:lineRule="atLeast"/>
        <w:contextualSpacing w:val="0"/>
        <w:jc w:val="both"/>
        <w:rPr>
          <w:rFonts w:ascii="Arial" w:hAnsi="Arial" w:cs="Arial"/>
          <w:sz w:val="22"/>
        </w:rPr>
      </w:pPr>
      <w:r>
        <w:rPr>
          <w:rFonts w:ascii="Arial" w:hAnsi="Arial" w:cs="Arial"/>
          <w:sz w:val="22"/>
        </w:rPr>
        <w:t>Breaches of targeted financial sanctions</w:t>
      </w:r>
    </w:p>
    <w:p w14:paraId="400D1413" w14:textId="77777777" w:rsidR="004E6EE3" w:rsidRPr="00020DE7" w:rsidRDefault="004E6EE3" w:rsidP="0085362C">
      <w:pPr>
        <w:pStyle w:val="ListParagraph"/>
        <w:snapToGrid w:val="0"/>
        <w:spacing w:line="280" w:lineRule="atLeast"/>
        <w:ind w:left="1080"/>
        <w:contextualSpacing w:val="0"/>
        <w:jc w:val="both"/>
        <w:rPr>
          <w:rFonts w:ascii="Arial" w:hAnsi="Arial" w:cs="Arial"/>
          <w:sz w:val="22"/>
        </w:rPr>
      </w:pPr>
    </w:p>
    <w:p w14:paraId="50C804D4" w14:textId="67C2182A" w:rsidR="004E6EE3" w:rsidRDefault="004E6EE3" w:rsidP="0085362C">
      <w:pPr>
        <w:pStyle w:val="ListParagraph"/>
        <w:numPr>
          <w:ilvl w:val="0"/>
          <w:numId w:val="2"/>
        </w:numPr>
        <w:snapToGrid w:val="0"/>
        <w:spacing w:line="280" w:lineRule="atLeast"/>
        <w:contextualSpacing w:val="0"/>
        <w:jc w:val="both"/>
        <w:rPr>
          <w:rFonts w:ascii="Arial" w:hAnsi="Arial" w:cs="Arial"/>
          <w:sz w:val="22"/>
        </w:rPr>
      </w:pPr>
      <w:r w:rsidRPr="00020DE7">
        <w:rPr>
          <w:rFonts w:ascii="Arial" w:hAnsi="Arial" w:cs="Arial" w:hint="eastAsia"/>
          <w:sz w:val="22"/>
        </w:rPr>
        <w:t xml:space="preserve">Failure to report </w:t>
      </w:r>
      <w:r w:rsidR="00FD20CA" w:rsidRPr="00020DE7">
        <w:rPr>
          <w:rFonts w:ascii="Arial" w:hAnsi="Arial" w:cs="Arial" w:hint="eastAsia"/>
          <w:sz w:val="22"/>
        </w:rPr>
        <w:t>to the practice</w:t>
      </w:r>
      <w:r w:rsidR="00FD20CA">
        <w:rPr>
          <w:rFonts w:ascii="Arial" w:hAnsi="Arial" w:cs="Arial"/>
          <w:sz w:val="22"/>
        </w:rPr>
        <w:t>’</w:t>
      </w:r>
      <w:r w:rsidR="00FD20CA" w:rsidRPr="00020DE7">
        <w:rPr>
          <w:rFonts w:ascii="Arial" w:hAnsi="Arial" w:cs="Arial" w:hint="eastAsia"/>
          <w:sz w:val="22"/>
        </w:rPr>
        <w:t xml:space="preserve">s MLRO </w:t>
      </w:r>
      <w:r w:rsidRPr="00020DE7">
        <w:rPr>
          <w:rFonts w:ascii="Arial" w:hAnsi="Arial" w:cs="Arial" w:hint="eastAsia"/>
          <w:sz w:val="22"/>
        </w:rPr>
        <w:t>suspicion or knowledge of such involvement by a principal,</w:t>
      </w:r>
      <w:r>
        <w:rPr>
          <w:rFonts w:ascii="Arial" w:hAnsi="Arial" w:cs="Arial"/>
          <w:sz w:val="22"/>
        </w:rPr>
        <w:t xml:space="preserve"> </w:t>
      </w:r>
      <w:r w:rsidRPr="00370836">
        <w:rPr>
          <w:rFonts w:ascii="Arial" w:hAnsi="Arial" w:cs="Arial"/>
          <w:sz w:val="22"/>
        </w:rPr>
        <w:t>employee or sub-contractor of the practice.</w:t>
      </w:r>
    </w:p>
    <w:p w14:paraId="246E1062" w14:textId="77777777" w:rsidR="004E6EE3" w:rsidRPr="00370836" w:rsidRDefault="004E6EE3" w:rsidP="0085362C">
      <w:pPr>
        <w:pStyle w:val="ListParagraph"/>
        <w:snapToGrid w:val="0"/>
        <w:spacing w:line="280" w:lineRule="atLeast"/>
        <w:ind w:left="360"/>
        <w:contextualSpacing w:val="0"/>
        <w:jc w:val="both"/>
        <w:rPr>
          <w:rFonts w:ascii="Arial" w:hAnsi="Arial" w:cs="Arial"/>
          <w:sz w:val="22"/>
        </w:rPr>
      </w:pPr>
    </w:p>
    <w:p w14:paraId="2D775180" w14:textId="77777777" w:rsidR="004E6EE3" w:rsidRPr="00020DE7" w:rsidRDefault="004E6EE3" w:rsidP="0085362C">
      <w:pPr>
        <w:pStyle w:val="ListParagraph"/>
        <w:numPr>
          <w:ilvl w:val="0"/>
          <w:numId w:val="2"/>
        </w:numPr>
        <w:snapToGrid w:val="0"/>
        <w:spacing w:line="280" w:lineRule="atLeast"/>
        <w:contextualSpacing w:val="0"/>
        <w:jc w:val="both"/>
        <w:rPr>
          <w:rFonts w:ascii="Arial" w:hAnsi="Arial" w:cs="Arial"/>
          <w:sz w:val="22"/>
        </w:rPr>
      </w:pPr>
      <w:r w:rsidRPr="00020DE7">
        <w:rPr>
          <w:rFonts w:ascii="Arial" w:hAnsi="Arial" w:cs="Arial" w:hint="eastAsia"/>
          <w:sz w:val="22"/>
        </w:rPr>
        <w:t>Failure to implement and apply appropriate policies and procedures.</w:t>
      </w:r>
    </w:p>
    <w:p w14:paraId="557E636E" w14:textId="77777777" w:rsidR="004E6EE3" w:rsidRDefault="004E6EE3" w:rsidP="0085362C">
      <w:pPr>
        <w:snapToGrid w:val="0"/>
        <w:spacing w:line="280" w:lineRule="atLeast"/>
        <w:jc w:val="both"/>
        <w:rPr>
          <w:rFonts w:ascii="Arial" w:hAnsi="Arial" w:cs="Arial"/>
          <w:sz w:val="22"/>
        </w:rPr>
      </w:pPr>
    </w:p>
    <w:p w14:paraId="6CB95B2F" w14:textId="77777777" w:rsidR="004E6EE3" w:rsidRDefault="004E6EE3" w:rsidP="0085362C">
      <w:pPr>
        <w:snapToGrid w:val="0"/>
        <w:spacing w:line="280" w:lineRule="atLeast"/>
        <w:jc w:val="both"/>
        <w:rPr>
          <w:rFonts w:ascii="Arial" w:hAnsi="Arial" w:cs="Arial"/>
          <w:sz w:val="22"/>
        </w:rPr>
      </w:pPr>
      <w:r w:rsidRPr="00020DE7">
        <w:rPr>
          <w:rFonts w:ascii="Arial" w:hAnsi="Arial" w:cs="Arial"/>
          <w:sz w:val="22"/>
        </w:rPr>
        <w:t>Whilst the likelihood of encountering instances of money laundering other than tax evasion may not be high,</w:t>
      </w:r>
      <w:r>
        <w:rPr>
          <w:rFonts w:ascii="Arial" w:hAnsi="Arial" w:cs="Arial"/>
          <w:sz w:val="22"/>
        </w:rPr>
        <w:t xml:space="preserve"> </w:t>
      </w:r>
      <w:r w:rsidRPr="00020DE7">
        <w:rPr>
          <w:rFonts w:ascii="Arial" w:hAnsi="Arial" w:cs="Arial"/>
          <w:sz w:val="22"/>
        </w:rPr>
        <w:t>principals, staff and sub-contractors must still remain alert to such eventuality.</w:t>
      </w:r>
    </w:p>
    <w:p w14:paraId="1DEC0D51" w14:textId="77777777" w:rsidR="004E6EE3" w:rsidRPr="00020DE7" w:rsidRDefault="004E6EE3" w:rsidP="0085362C">
      <w:pPr>
        <w:snapToGrid w:val="0"/>
        <w:spacing w:line="280" w:lineRule="atLeast"/>
        <w:jc w:val="both"/>
        <w:rPr>
          <w:rFonts w:ascii="Arial" w:hAnsi="Arial" w:cs="Arial"/>
          <w:sz w:val="22"/>
        </w:rPr>
      </w:pPr>
    </w:p>
    <w:p w14:paraId="03C79DFE" w14:textId="77777777" w:rsidR="004E6EE3" w:rsidRDefault="004E6EE3" w:rsidP="0085362C">
      <w:pPr>
        <w:snapToGrid w:val="0"/>
        <w:spacing w:line="280" w:lineRule="atLeast"/>
        <w:jc w:val="both"/>
        <w:rPr>
          <w:rFonts w:ascii="Arial" w:hAnsi="Arial" w:cs="Arial"/>
          <w:sz w:val="22"/>
        </w:rPr>
      </w:pPr>
      <w:r w:rsidRPr="00020DE7">
        <w:rPr>
          <w:rFonts w:ascii="Arial" w:hAnsi="Arial" w:cs="Arial"/>
          <w:sz w:val="22"/>
        </w:rPr>
        <w:t>Principals, staff and sub-contractors must also be alert for complex or unusually large transactions and</w:t>
      </w:r>
      <w:r>
        <w:rPr>
          <w:rFonts w:ascii="Arial" w:hAnsi="Arial" w:cs="Arial"/>
          <w:sz w:val="22"/>
        </w:rPr>
        <w:t xml:space="preserve"> </w:t>
      </w:r>
      <w:r w:rsidRPr="00020DE7">
        <w:rPr>
          <w:rFonts w:ascii="Arial" w:hAnsi="Arial" w:cs="Arial"/>
          <w:sz w:val="22"/>
        </w:rPr>
        <w:t>unusual patterns of transactions which have no apparent economic or visible lawful purpose.</w:t>
      </w:r>
    </w:p>
    <w:p w14:paraId="1C04CA47" w14:textId="77777777" w:rsidR="004E6EE3" w:rsidRPr="00020DE7" w:rsidRDefault="004E6EE3" w:rsidP="0085362C">
      <w:pPr>
        <w:snapToGrid w:val="0"/>
        <w:spacing w:line="280" w:lineRule="atLeast"/>
        <w:jc w:val="both"/>
        <w:rPr>
          <w:rFonts w:ascii="Arial" w:hAnsi="Arial" w:cs="Arial"/>
          <w:sz w:val="22"/>
        </w:rPr>
      </w:pPr>
    </w:p>
    <w:p w14:paraId="7ED0D7B0" w14:textId="77777777" w:rsidR="004E6EE3" w:rsidRPr="00020DE7" w:rsidRDefault="004E6EE3" w:rsidP="0085362C">
      <w:pPr>
        <w:snapToGrid w:val="0"/>
        <w:spacing w:line="280" w:lineRule="atLeast"/>
        <w:jc w:val="both"/>
        <w:rPr>
          <w:rFonts w:ascii="Arial" w:hAnsi="Arial" w:cs="Arial"/>
          <w:sz w:val="22"/>
        </w:rPr>
      </w:pPr>
      <w:r w:rsidRPr="00020DE7">
        <w:rPr>
          <w:rFonts w:ascii="Arial" w:hAnsi="Arial" w:cs="Arial"/>
          <w:sz w:val="22"/>
        </w:rPr>
        <w:t>Similarly, principals, staff and sub-contractors must identify situations where the client is using products and</w:t>
      </w:r>
      <w:r>
        <w:rPr>
          <w:rFonts w:ascii="Arial" w:hAnsi="Arial" w:cs="Arial"/>
          <w:sz w:val="22"/>
        </w:rPr>
        <w:t xml:space="preserve"> </w:t>
      </w:r>
      <w:r w:rsidRPr="00020DE7">
        <w:rPr>
          <w:rFonts w:ascii="Arial" w:hAnsi="Arial" w:cs="Arial"/>
          <w:sz w:val="22"/>
        </w:rPr>
        <w:t>transactions which might favour anonymity (such as companies in offshore jurisdictions where transparency</w:t>
      </w:r>
      <w:r>
        <w:rPr>
          <w:rFonts w:ascii="Arial" w:hAnsi="Arial" w:cs="Arial"/>
          <w:sz w:val="22"/>
        </w:rPr>
        <w:t xml:space="preserve"> </w:t>
      </w:r>
      <w:r w:rsidRPr="00020DE7">
        <w:rPr>
          <w:rFonts w:ascii="Arial" w:hAnsi="Arial" w:cs="Arial"/>
          <w:sz w:val="22"/>
        </w:rPr>
        <w:t>may be lacking (e.g., Panama)), recognise the increased risk of money laundering or terrorist financing that</w:t>
      </w:r>
      <w:r>
        <w:rPr>
          <w:rFonts w:ascii="Arial" w:hAnsi="Arial" w:cs="Arial"/>
          <w:sz w:val="22"/>
        </w:rPr>
        <w:t xml:space="preserve"> </w:t>
      </w:r>
      <w:r w:rsidRPr="00020DE7">
        <w:rPr>
          <w:rFonts w:ascii="Arial" w:hAnsi="Arial" w:cs="Arial"/>
          <w:sz w:val="22"/>
        </w:rPr>
        <w:t>these products and transactions produce, and take additional measures, where appropriate.</w:t>
      </w:r>
    </w:p>
    <w:p w14:paraId="2CEF693C" w14:textId="78D59DBE" w:rsidR="004E6EE3" w:rsidRPr="00020DE7" w:rsidRDefault="004E6EE3" w:rsidP="0085362C">
      <w:pPr>
        <w:snapToGrid w:val="0"/>
        <w:spacing w:line="280" w:lineRule="atLeast"/>
        <w:jc w:val="both"/>
        <w:rPr>
          <w:rFonts w:ascii="Arial" w:hAnsi="Arial" w:cs="Arial"/>
          <w:sz w:val="22"/>
        </w:rPr>
      </w:pPr>
      <w:r>
        <w:rPr>
          <w:rFonts w:ascii="Arial" w:hAnsi="Arial" w:cs="Arial"/>
          <w:sz w:val="22"/>
        </w:rPr>
        <w:br/>
      </w:r>
      <w:r w:rsidR="000A6B2F">
        <w:rPr>
          <w:rFonts w:ascii="Arial" w:hAnsi="Arial" w:cs="Arial"/>
          <w:sz w:val="22"/>
        </w:rPr>
        <w:t>Where applicable, a</w:t>
      </w:r>
      <w:r w:rsidRPr="00020DE7">
        <w:rPr>
          <w:rFonts w:ascii="Arial" w:hAnsi="Arial" w:cs="Arial"/>
          <w:sz w:val="22"/>
        </w:rPr>
        <w:t>ll know your client forms and</w:t>
      </w:r>
      <w:r w:rsidR="000A6B2F">
        <w:rPr>
          <w:rFonts w:ascii="Arial" w:hAnsi="Arial" w:cs="Arial"/>
          <w:sz w:val="22"/>
        </w:rPr>
        <w:t xml:space="preserve"> </w:t>
      </w:r>
      <w:r w:rsidRPr="00020DE7">
        <w:rPr>
          <w:rFonts w:ascii="Arial" w:hAnsi="Arial" w:cs="Arial"/>
          <w:sz w:val="22"/>
        </w:rPr>
        <w:t>customer due diligence forms should record the client’s risk profile.</w:t>
      </w:r>
    </w:p>
    <w:p w14:paraId="7803C89D" w14:textId="2D4DDC52" w:rsidR="00370836" w:rsidRDefault="00370836" w:rsidP="0085362C">
      <w:pPr>
        <w:snapToGrid w:val="0"/>
        <w:spacing w:line="280" w:lineRule="atLeast"/>
        <w:jc w:val="both"/>
        <w:rPr>
          <w:rFonts w:ascii="Arial" w:hAnsi="Arial" w:cs="Arial"/>
          <w:sz w:val="22"/>
        </w:rPr>
      </w:pPr>
    </w:p>
    <w:p w14:paraId="26060373" w14:textId="082A0C14" w:rsidR="00A54D48" w:rsidRPr="00A031BD" w:rsidRDefault="00A54D48" w:rsidP="00A031BD">
      <w:pPr>
        <w:pStyle w:val="ListParagraph"/>
        <w:numPr>
          <w:ilvl w:val="0"/>
          <w:numId w:val="10"/>
        </w:numPr>
        <w:snapToGrid w:val="0"/>
        <w:spacing w:line="280" w:lineRule="atLeast"/>
        <w:ind w:left="360"/>
        <w:jc w:val="both"/>
        <w:rPr>
          <w:rFonts w:ascii="Arial" w:hAnsi="Arial" w:cs="Arial"/>
          <w:b/>
          <w:i/>
          <w:szCs w:val="24"/>
        </w:rPr>
      </w:pPr>
      <w:r w:rsidRPr="00A031BD">
        <w:rPr>
          <w:rFonts w:ascii="Arial" w:hAnsi="Arial" w:cs="Arial"/>
          <w:b/>
          <w:i/>
          <w:szCs w:val="24"/>
        </w:rPr>
        <w:t>Financial sanctions and terrorist financing</w:t>
      </w:r>
    </w:p>
    <w:p w14:paraId="1F0A09B6" w14:textId="5F234F60" w:rsidR="00A54D48" w:rsidRPr="0085362C" w:rsidRDefault="00A54D48" w:rsidP="0085362C">
      <w:pPr>
        <w:snapToGrid w:val="0"/>
        <w:spacing w:line="280" w:lineRule="atLeast"/>
        <w:jc w:val="both"/>
        <w:rPr>
          <w:rFonts w:ascii="Arial" w:hAnsi="Arial"/>
          <w:sz w:val="22"/>
        </w:rPr>
      </w:pPr>
    </w:p>
    <w:p w14:paraId="13776A73" w14:textId="12D9513B" w:rsidR="00A54D48" w:rsidRPr="00A54D48" w:rsidRDefault="00A54D48" w:rsidP="00A031BD">
      <w:pPr>
        <w:snapToGrid w:val="0"/>
        <w:spacing w:line="280" w:lineRule="atLeast"/>
        <w:jc w:val="both"/>
        <w:rPr>
          <w:rFonts w:ascii="Arial" w:hAnsi="Arial" w:cs="Arial"/>
          <w:sz w:val="22"/>
          <w:lang w:eastAsia="zh-HK"/>
        </w:rPr>
      </w:pPr>
      <w:r w:rsidRPr="0085362C">
        <w:rPr>
          <w:rFonts w:ascii="Arial" w:hAnsi="Arial"/>
          <w:sz w:val="22"/>
        </w:rPr>
        <w:t xml:space="preserve">The </w:t>
      </w:r>
      <w:r w:rsidRPr="00A54D48">
        <w:rPr>
          <w:rFonts w:ascii="Arial" w:hAnsi="Arial" w:cs="Arial"/>
          <w:sz w:val="22"/>
          <w:lang w:eastAsia="zh-HK"/>
        </w:rPr>
        <w:t xml:space="preserve">United Nations Sanctions Ordinance (Cap. 537) empowers the Chief Executive of Hong Kong to make regulations to implement sanctions decided by the United Nations (“UN”) Security Council. It is an offence to provide or solicit financial or related services to a client who is a person or entity designated in UN sanctions lists.  </w:t>
      </w:r>
    </w:p>
    <w:p w14:paraId="673B6EEE" w14:textId="77777777" w:rsidR="00A54D48" w:rsidRPr="00A54D48" w:rsidRDefault="00A54D48" w:rsidP="00A031BD">
      <w:pPr>
        <w:snapToGrid w:val="0"/>
        <w:spacing w:line="280" w:lineRule="atLeast"/>
        <w:jc w:val="both"/>
        <w:rPr>
          <w:rFonts w:ascii="Arial" w:hAnsi="Arial" w:cs="Arial"/>
          <w:sz w:val="22"/>
          <w:lang w:eastAsia="zh-HK"/>
        </w:rPr>
      </w:pPr>
    </w:p>
    <w:p w14:paraId="6E1B804B" w14:textId="77777777" w:rsidR="00A54D48" w:rsidRPr="00A54D48" w:rsidRDefault="00A54D48" w:rsidP="00A031BD">
      <w:pPr>
        <w:snapToGrid w:val="0"/>
        <w:spacing w:line="280" w:lineRule="atLeast"/>
        <w:jc w:val="both"/>
        <w:rPr>
          <w:rFonts w:ascii="Arial" w:hAnsi="Arial" w:cs="Arial"/>
          <w:sz w:val="22"/>
          <w:lang w:eastAsia="zh-HK"/>
        </w:rPr>
      </w:pPr>
      <w:r w:rsidRPr="00A54D48">
        <w:rPr>
          <w:rFonts w:ascii="Arial" w:hAnsi="Arial" w:cs="Arial"/>
          <w:sz w:val="22"/>
          <w:lang w:eastAsia="zh-HK"/>
        </w:rPr>
        <w:t>(a)</w:t>
      </w:r>
      <w:r w:rsidRPr="00A54D48">
        <w:rPr>
          <w:rFonts w:ascii="Arial" w:hAnsi="Arial" w:cs="Arial"/>
          <w:sz w:val="22"/>
          <w:lang w:eastAsia="zh-HK"/>
        </w:rPr>
        <w:tab/>
        <w:t>Sources of the lists of the financial sanctions and terrorist financing</w:t>
      </w:r>
    </w:p>
    <w:p w14:paraId="3015A34D" w14:textId="77777777" w:rsidR="00A54D48" w:rsidRPr="00A54D48" w:rsidRDefault="00A54D48" w:rsidP="00A031BD">
      <w:pPr>
        <w:snapToGrid w:val="0"/>
        <w:spacing w:line="280" w:lineRule="atLeast"/>
        <w:jc w:val="both"/>
        <w:rPr>
          <w:rFonts w:ascii="Arial" w:hAnsi="Arial" w:cs="Arial"/>
          <w:sz w:val="22"/>
          <w:lang w:eastAsia="zh-HK"/>
        </w:rPr>
      </w:pPr>
    </w:p>
    <w:p w14:paraId="492683BC" w14:textId="05D5006D" w:rsidR="00A54D48" w:rsidRPr="00A54D48" w:rsidRDefault="00447317" w:rsidP="00A031BD">
      <w:pPr>
        <w:snapToGrid w:val="0"/>
        <w:spacing w:line="280" w:lineRule="atLeast"/>
        <w:jc w:val="both"/>
        <w:rPr>
          <w:rFonts w:ascii="Arial" w:hAnsi="Arial" w:cs="Arial"/>
          <w:sz w:val="22"/>
          <w:lang w:eastAsia="zh-HK"/>
        </w:rPr>
      </w:pPr>
      <w:r>
        <w:rPr>
          <w:rFonts w:ascii="Arial" w:hAnsi="Arial" w:cs="Arial"/>
          <w:sz w:val="22"/>
          <w:lang w:eastAsia="zh-HK"/>
        </w:rPr>
        <w:t>We will</w:t>
      </w:r>
      <w:r w:rsidR="00A54D48" w:rsidRPr="00A54D48">
        <w:rPr>
          <w:rFonts w:ascii="Arial" w:hAnsi="Arial" w:cs="Arial"/>
          <w:sz w:val="22"/>
          <w:lang w:eastAsia="zh-HK"/>
        </w:rPr>
        <w:t xml:space="preserve"> refer to </w:t>
      </w:r>
      <w:r>
        <w:rPr>
          <w:rFonts w:ascii="Arial" w:hAnsi="Arial" w:cs="Arial"/>
          <w:sz w:val="22"/>
          <w:lang w:eastAsia="zh-HK"/>
        </w:rPr>
        <w:t xml:space="preserve">the </w:t>
      </w:r>
      <w:r w:rsidR="00A54D48" w:rsidRPr="00A54D48">
        <w:rPr>
          <w:rFonts w:ascii="Arial" w:hAnsi="Arial" w:cs="Arial"/>
          <w:sz w:val="22"/>
          <w:lang w:eastAsia="zh-HK"/>
        </w:rPr>
        <w:t xml:space="preserve">lists maintained by the UN Security Council and its Sanctions Committees [and the United States’ Office of Foreign Assets Control (“US OFAC”) </w:t>
      </w:r>
      <w:r w:rsidR="00A54D48" w:rsidRPr="005773DC">
        <w:rPr>
          <w:rFonts w:ascii="Arial" w:hAnsi="Arial" w:cs="Arial"/>
          <w:i/>
          <w:sz w:val="22"/>
          <w:lang w:eastAsia="zh-HK"/>
        </w:rPr>
        <w:t>(note:</w:t>
      </w:r>
      <w:r w:rsidR="00A031BD" w:rsidRPr="005773DC">
        <w:rPr>
          <w:rFonts w:ascii="Arial" w:hAnsi="Arial" w:cs="Arial"/>
          <w:i/>
          <w:sz w:val="22"/>
          <w:lang w:eastAsia="zh-HK"/>
        </w:rPr>
        <w:t xml:space="preserve"> not mandatory, see 650.1.6)</w:t>
      </w:r>
      <w:r w:rsidR="00A031BD">
        <w:rPr>
          <w:rFonts w:ascii="Arial" w:hAnsi="Arial" w:cs="Arial"/>
          <w:sz w:val="22"/>
          <w:lang w:eastAsia="zh-HK"/>
        </w:rPr>
        <w:t xml:space="preserve">]. </w:t>
      </w:r>
      <w:r w:rsidR="00A54D48" w:rsidRPr="00A54D48">
        <w:rPr>
          <w:rFonts w:ascii="Arial" w:hAnsi="Arial" w:cs="Arial"/>
          <w:sz w:val="22"/>
          <w:lang w:eastAsia="zh-HK"/>
        </w:rPr>
        <w:t>The entities and individuals on those lists (referred to as designated persons or entities) are sub</w:t>
      </w:r>
      <w:r w:rsidR="00A031BD">
        <w:rPr>
          <w:rFonts w:ascii="Arial" w:hAnsi="Arial" w:cs="Arial"/>
          <w:sz w:val="22"/>
          <w:lang w:eastAsia="zh-HK"/>
        </w:rPr>
        <w:t>ject to financial restrictions.</w:t>
      </w:r>
      <w:r w:rsidR="00A54D48" w:rsidRPr="00A54D48">
        <w:rPr>
          <w:rFonts w:ascii="Arial" w:hAnsi="Arial" w:cs="Arial"/>
          <w:sz w:val="22"/>
          <w:lang w:eastAsia="zh-HK"/>
        </w:rPr>
        <w:t xml:space="preserve"> The purpose of the sanctions is to prevent access to and use of funds for terrorism and terrorist purposes.</w:t>
      </w:r>
    </w:p>
    <w:p w14:paraId="65989711" w14:textId="77777777" w:rsidR="00A54D48" w:rsidRPr="00CC09E0" w:rsidRDefault="00A54D48" w:rsidP="00A031BD">
      <w:pPr>
        <w:snapToGrid w:val="0"/>
        <w:spacing w:line="280" w:lineRule="atLeast"/>
        <w:jc w:val="both"/>
        <w:rPr>
          <w:rFonts w:ascii="Arial" w:hAnsi="Arial" w:cs="Arial"/>
          <w:i/>
          <w:sz w:val="22"/>
          <w:lang w:eastAsia="zh-HK"/>
        </w:rPr>
      </w:pPr>
    </w:p>
    <w:p w14:paraId="29E843DD" w14:textId="77777777" w:rsidR="00A54D48" w:rsidRPr="00A54D48" w:rsidRDefault="00A54D48" w:rsidP="00A031BD">
      <w:pPr>
        <w:snapToGrid w:val="0"/>
        <w:spacing w:line="280" w:lineRule="atLeast"/>
        <w:jc w:val="both"/>
        <w:rPr>
          <w:rFonts w:ascii="Arial" w:hAnsi="Arial" w:cs="Arial"/>
          <w:sz w:val="22"/>
          <w:lang w:eastAsia="zh-HK"/>
        </w:rPr>
      </w:pPr>
      <w:r w:rsidRPr="00A54D48">
        <w:rPr>
          <w:rFonts w:ascii="Arial" w:hAnsi="Arial" w:cs="Arial"/>
          <w:sz w:val="22"/>
          <w:lang w:eastAsia="zh-HK"/>
        </w:rPr>
        <w:t>The UN sanctions consolidated list is available from:</w:t>
      </w:r>
    </w:p>
    <w:p w14:paraId="4E804336" w14:textId="77777777" w:rsidR="00A54D48" w:rsidRPr="00A54D48" w:rsidRDefault="005B5C44" w:rsidP="00A031BD">
      <w:pPr>
        <w:snapToGrid w:val="0"/>
        <w:spacing w:line="280" w:lineRule="atLeast"/>
        <w:jc w:val="both"/>
        <w:rPr>
          <w:rFonts w:ascii="Arial" w:hAnsi="Arial" w:cs="Arial"/>
          <w:sz w:val="22"/>
          <w:lang w:eastAsia="zh-HK"/>
        </w:rPr>
      </w:pPr>
      <w:hyperlink r:id="rId8" w:history="1">
        <w:r w:rsidR="00A54D48" w:rsidRPr="00A54D48">
          <w:rPr>
            <w:rStyle w:val="Hyperlink"/>
            <w:rFonts w:ascii="Arial" w:hAnsi="Arial" w:cs="Arial"/>
            <w:sz w:val="22"/>
            <w:lang w:eastAsia="zh-HK"/>
          </w:rPr>
          <w:t>https://www.un.org/securitycouncil/content/un-sc-consolidated-list</w:t>
        </w:r>
      </w:hyperlink>
    </w:p>
    <w:p w14:paraId="299F44DD" w14:textId="77777777" w:rsidR="00A54D48" w:rsidRPr="00A54D48" w:rsidRDefault="00A54D48" w:rsidP="00A031BD">
      <w:pPr>
        <w:snapToGrid w:val="0"/>
        <w:spacing w:line="280" w:lineRule="atLeast"/>
        <w:jc w:val="both"/>
        <w:rPr>
          <w:rFonts w:ascii="Arial" w:hAnsi="Arial" w:cs="Arial"/>
          <w:sz w:val="22"/>
          <w:lang w:eastAsia="zh-HK"/>
        </w:rPr>
      </w:pPr>
    </w:p>
    <w:p w14:paraId="4779F6FC" w14:textId="1D0095BB" w:rsidR="00A54D48" w:rsidRPr="00A54D48" w:rsidRDefault="00A54D48" w:rsidP="00A031BD">
      <w:pPr>
        <w:snapToGrid w:val="0"/>
        <w:spacing w:line="280" w:lineRule="atLeast"/>
        <w:jc w:val="both"/>
        <w:rPr>
          <w:rFonts w:ascii="Arial" w:hAnsi="Arial" w:cs="Arial"/>
          <w:sz w:val="22"/>
          <w:lang w:eastAsia="zh-HK"/>
        </w:rPr>
      </w:pPr>
      <w:r w:rsidRPr="00A54D48">
        <w:rPr>
          <w:rFonts w:ascii="Arial" w:hAnsi="Arial" w:cs="Arial"/>
          <w:sz w:val="22"/>
          <w:lang w:eastAsia="zh-HK"/>
        </w:rPr>
        <w:t>[The US OFAC sanctions</w:t>
      </w:r>
      <w:r w:rsidR="00B62D70">
        <w:rPr>
          <w:rFonts w:ascii="Arial" w:hAnsi="Arial" w:cs="Arial"/>
          <w:sz w:val="22"/>
          <w:lang w:eastAsia="zh-HK"/>
        </w:rPr>
        <w:t xml:space="preserve"> list is available from:</w:t>
      </w:r>
      <w:r w:rsidR="00760BFD">
        <w:rPr>
          <w:rFonts w:ascii="Arial" w:hAnsi="Arial" w:cs="Arial"/>
          <w:sz w:val="22"/>
          <w:lang w:eastAsia="zh-HK"/>
        </w:rPr>
        <w:t xml:space="preserve"> </w:t>
      </w:r>
      <w:hyperlink r:id="rId9" w:history="1">
        <w:r w:rsidRPr="00A54D48">
          <w:rPr>
            <w:rStyle w:val="Hyperlink"/>
            <w:rFonts w:ascii="Arial" w:hAnsi="Arial" w:cs="Arial"/>
            <w:sz w:val="22"/>
            <w:lang w:eastAsia="zh-HK"/>
          </w:rPr>
          <w:t>https://sanctionssearch.ofac.treas.gov</w:t>
        </w:r>
      </w:hyperlink>
      <w:r w:rsidRPr="00A54D48">
        <w:rPr>
          <w:rFonts w:ascii="Arial" w:hAnsi="Arial" w:cs="Arial"/>
          <w:sz w:val="22"/>
          <w:lang w:eastAsia="zh-HK"/>
        </w:rPr>
        <w:t xml:space="preserve"> ]</w:t>
      </w:r>
    </w:p>
    <w:p w14:paraId="2D050427" w14:textId="77777777" w:rsidR="00A54D48" w:rsidRPr="00CC09E0" w:rsidRDefault="00A54D48" w:rsidP="00A031BD">
      <w:pPr>
        <w:snapToGrid w:val="0"/>
        <w:spacing w:line="280" w:lineRule="atLeast"/>
        <w:jc w:val="both"/>
        <w:rPr>
          <w:rFonts w:ascii="Arial" w:hAnsi="Arial" w:cs="Arial"/>
          <w:i/>
          <w:sz w:val="22"/>
          <w:lang w:eastAsia="zh-HK"/>
        </w:rPr>
      </w:pPr>
    </w:p>
    <w:p w14:paraId="406169D0" w14:textId="69DFC53F" w:rsidR="00A54D48" w:rsidRPr="00A54D48" w:rsidRDefault="004E6EE3" w:rsidP="00A031BD">
      <w:pPr>
        <w:snapToGrid w:val="0"/>
        <w:spacing w:line="280" w:lineRule="atLeast"/>
        <w:jc w:val="both"/>
        <w:rPr>
          <w:rFonts w:ascii="Arial" w:hAnsi="Arial" w:cs="Arial"/>
          <w:sz w:val="22"/>
          <w:lang w:eastAsia="zh-HK"/>
        </w:rPr>
      </w:pPr>
      <w:r>
        <w:rPr>
          <w:rFonts w:ascii="Arial" w:hAnsi="Arial" w:cs="Arial"/>
          <w:sz w:val="22"/>
          <w:lang w:eastAsia="zh-HK"/>
        </w:rPr>
        <w:t>We will</w:t>
      </w:r>
      <w:r w:rsidR="00A54D48" w:rsidRPr="00A54D48">
        <w:rPr>
          <w:rFonts w:ascii="Arial" w:hAnsi="Arial" w:cs="Arial"/>
          <w:sz w:val="22"/>
          <w:lang w:eastAsia="zh-HK"/>
        </w:rPr>
        <w:t xml:space="preserve"> also refer to the </w:t>
      </w:r>
      <w:r w:rsidR="00FD20CA" w:rsidRPr="00A54D48">
        <w:rPr>
          <w:rFonts w:ascii="Arial" w:hAnsi="Arial" w:cs="Arial"/>
          <w:sz w:val="22"/>
          <w:lang w:eastAsia="zh-HK"/>
        </w:rPr>
        <w:t xml:space="preserve">Anti-money laundering section of the HKICPA website (at: </w:t>
      </w:r>
      <w:hyperlink r:id="rId10" w:history="1">
        <w:r w:rsidR="00FD20CA" w:rsidRPr="00C0311C">
          <w:rPr>
            <w:rStyle w:val="Hyperlink"/>
            <w:rFonts w:ascii="Arial" w:hAnsi="Arial" w:cs="Arial"/>
            <w:sz w:val="22"/>
          </w:rPr>
          <w:t>https://www.hkicpa.org.hk/en/Standards-and-regulation/Anti-money-laundering</w:t>
        </w:r>
      </w:hyperlink>
      <w:r w:rsidR="00FD20CA" w:rsidRPr="00A54D48">
        <w:rPr>
          <w:rFonts w:ascii="Arial" w:hAnsi="Arial" w:cs="Arial"/>
          <w:sz w:val="22"/>
          <w:lang w:eastAsia="zh-HK"/>
        </w:rPr>
        <w:t>)</w:t>
      </w:r>
      <w:r w:rsidR="00FD20CA">
        <w:rPr>
          <w:rFonts w:ascii="Arial" w:hAnsi="Arial" w:cs="Arial"/>
          <w:sz w:val="22"/>
          <w:lang w:eastAsia="zh-HK"/>
        </w:rPr>
        <w:t xml:space="preserve"> as well as the </w:t>
      </w:r>
      <w:r w:rsidR="00A54D48" w:rsidRPr="00A54D48">
        <w:rPr>
          <w:rFonts w:ascii="Arial" w:hAnsi="Arial" w:cs="Arial"/>
          <w:sz w:val="22"/>
          <w:lang w:eastAsia="zh-HK"/>
        </w:rPr>
        <w:t>HKICPA’s monthly technica</w:t>
      </w:r>
      <w:r w:rsidR="00B62D70">
        <w:rPr>
          <w:rFonts w:ascii="Arial" w:hAnsi="Arial" w:cs="Arial"/>
          <w:sz w:val="22"/>
          <w:lang w:eastAsia="zh-HK"/>
        </w:rPr>
        <w:t>l e-newsletter ‘Techwatch’ (See</w:t>
      </w:r>
      <w:r w:rsidR="00B62D70">
        <w:rPr>
          <w:rFonts w:ascii="Arial" w:hAnsi="Arial" w:cs="Arial"/>
          <w:sz w:val="16"/>
          <w:szCs w:val="16"/>
          <w:lang w:eastAsia="zh-HK"/>
        </w:rPr>
        <w:t xml:space="preserve"> </w:t>
      </w:r>
      <w:hyperlink r:id="rId11" w:history="1">
        <w:r w:rsidR="00A54D48" w:rsidRPr="00A54D48">
          <w:rPr>
            <w:rStyle w:val="Hyperlink"/>
            <w:rFonts w:ascii="Arial" w:hAnsi="Arial" w:cs="Arial"/>
            <w:sz w:val="22"/>
            <w:lang w:eastAsia="zh-HK"/>
          </w:rPr>
          <w:t>http://www.hkicpa.org.hk/en/standards-and-regulations/technical-resources/techwatch/</w:t>
        </w:r>
      </w:hyperlink>
      <w:r w:rsidR="00A54D48" w:rsidRPr="00A54D48">
        <w:rPr>
          <w:rFonts w:ascii="Arial" w:hAnsi="Arial" w:cs="Arial"/>
          <w:sz w:val="22"/>
          <w:lang w:eastAsia="zh-HK"/>
        </w:rPr>
        <w:t xml:space="preserve"> ) and the weekly e-circular for information on the latest sanctions lists</w:t>
      </w:r>
      <w:r w:rsidR="00A54D48">
        <w:rPr>
          <w:rFonts w:ascii="Arial" w:hAnsi="Arial" w:cs="Arial"/>
          <w:sz w:val="22"/>
          <w:lang w:eastAsia="zh-HK"/>
        </w:rPr>
        <w:t>.</w:t>
      </w:r>
    </w:p>
    <w:p w14:paraId="74252441" w14:textId="51AB5411" w:rsidR="00A54D48" w:rsidRPr="00CC09E0" w:rsidRDefault="00A54D48" w:rsidP="00A031BD">
      <w:pPr>
        <w:snapToGrid w:val="0"/>
        <w:spacing w:line="280" w:lineRule="atLeast"/>
        <w:jc w:val="both"/>
        <w:rPr>
          <w:rFonts w:ascii="Arial" w:hAnsi="Arial" w:cs="Arial"/>
          <w:i/>
          <w:sz w:val="22"/>
          <w:lang w:eastAsia="zh-HK"/>
        </w:rPr>
      </w:pPr>
      <w:r>
        <w:rPr>
          <w:rFonts w:ascii="Arial" w:hAnsi="Arial" w:cs="Arial"/>
          <w:i/>
          <w:sz w:val="22"/>
          <w:lang w:eastAsia="zh-HK"/>
        </w:rPr>
        <w:t xml:space="preserve"> </w:t>
      </w:r>
      <w:r w:rsidRPr="00CC09E0">
        <w:rPr>
          <w:rFonts w:ascii="Arial" w:hAnsi="Arial" w:cs="Arial"/>
          <w:i/>
          <w:sz w:val="22"/>
          <w:lang w:eastAsia="zh-HK"/>
        </w:rPr>
        <w:tab/>
      </w:r>
    </w:p>
    <w:p w14:paraId="4FECCDB2" w14:textId="422051C1" w:rsidR="00A54D48" w:rsidRPr="00A54D48" w:rsidRDefault="00A54D48" w:rsidP="00A031BD">
      <w:pPr>
        <w:snapToGrid w:val="0"/>
        <w:spacing w:line="280" w:lineRule="atLeast"/>
        <w:jc w:val="both"/>
        <w:rPr>
          <w:rFonts w:ascii="Arial" w:hAnsi="Arial" w:cs="Arial"/>
          <w:sz w:val="22"/>
          <w:lang w:eastAsia="zh-HK"/>
        </w:rPr>
      </w:pPr>
      <w:r w:rsidRPr="00A54D48">
        <w:rPr>
          <w:rFonts w:ascii="Arial" w:hAnsi="Arial" w:cs="Arial"/>
          <w:sz w:val="22"/>
          <w:lang w:eastAsia="zh-HK"/>
        </w:rPr>
        <w:t>(b)</w:t>
      </w:r>
      <w:r w:rsidRPr="00A54D48">
        <w:rPr>
          <w:rFonts w:ascii="Arial" w:hAnsi="Arial" w:cs="Arial"/>
          <w:sz w:val="22"/>
          <w:lang w:eastAsia="zh-HK"/>
        </w:rPr>
        <w:tab/>
        <w:t xml:space="preserve">Frequency of conducting name checks </w:t>
      </w:r>
    </w:p>
    <w:p w14:paraId="4A9BF7B6" w14:textId="77777777" w:rsidR="00A54D48" w:rsidRPr="00CC09E0" w:rsidRDefault="00A54D48" w:rsidP="00A031BD">
      <w:pPr>
        <w:snapToGrid w:val="0"/>
        <w:spacing w:line="280" w:lineRule="atLeast"/>
        <w:jc w:val="both"/>
        <w:rPr>
          <w:rFonts w:ascii="Arial" w:hAnsi="Arial" w:cs="Arial"/>
          <w:i/>
          <w:sz w:val="22"/>
          <w:lang w:eastAsia="zh-HK"/>
        </w:rPr>
      </w:pPr>
    </w:p>
    <w:p w14:paraId="5C7AD6FC" w14:textId="45E921BE" w:rsidR="00A54D48" w:rsidRPr="00A54D48" w:rsidRDefault="004E6EE3" w:rsidP="00A031BD">
      <w:pPr>
        <w:snapToGrid w:val="0"/>
        <w:spacing w:line="280" w:lineRule="atLeast"/>
        <w:jc w:val="both"/>
        <w:rPr>
          <w:rFonts w:ascii="Arial" w:hAnsi="Arial" w:cs="Arial"/>
          <w:sz w:val="22"/>
          <w:lang w:eastAsia="zh-HK"/>
        </w:rPr>
      </w:pPr>
      <w:r>
        <w:rPr>
          <w:rFonts w:ascii="Arial" w:hAnsi="Arial" w:cs="Arial"/>
          <w:sz w:val="22"/>
          <w:lang w:eastAsia="zh-HK"/>
        </w:rPr>
        <w:t>We will</w:t>
      </w:r>
      <w:r w:rsidR="00A54D48" w:rsidRPr="00A54D48">
        <w:rPr>
          <w:rFonts w:ascii="Arial" w:hAnsi="Arial" w:cs="Arial"/>
          <w:sz w:val="22"/>
          <w:lang w:eastAsia="zh-HK"/>
        </w:rPr>
        <w:t xml:space="preserve"> conduct </w:t>
      </w:r>
      <w:r>
        <w:rPr>
          <w:rFonts w:ascii="Arial" w:hAnsi="Arial" w:cs="Arial"/>
          <w:sz w:val="22"/>
          <w:lang w:eastAsia="zh-HK"/>
        </w:rPr>
        <w:t xml:space="preserve">a </w:t>
      </w:r>
      <w:r w:rsidR="00A54D48" w:rsidRPr="00A54D48">
        <w:rPr>
          <w:rFonts w:ascii="Arial" w:hAnsi="Arial" w:cs="Arial"/>
          <w:sz w:val="22"/>
          <w:lang w:eastAsia="zh-HK"/>
        </w:rPr>
        <w:t xml:space="preserve">name check of </w:t>
      </w:r>
      <w:r>
        <w:rPr>
          <w:rFonts w:ascii="Arial" w:hAnsi="Arial" w:cs="Arial"/>
          <w:sz w:val="22"/>
          <w:lang w:eastAsia="zh-HK"/>
        </w:rPr>
        <w:t>a</w:t>
      </w:r>
      <w:r w:rsidRPr="00A54D48">
        <w:rPr>
          <w:rFonts w:ascii="Arial" w:hAnsi="Arial" w:cs="Arial"/>
          <w:sz w:val="22"/>
          <w:lang w:eastAsia="zh-HK"/>
        </w:rPr>
        <w:t xml:space="preserve"> </w:t>
      </w:r>
      <w:r w:rsidR="00A54D48" w:rsidRPr="00A54D48">
        <w:rPr>
          <w:rFonts w:ascii="Arial" w:hAnsi="Arial" w:cs="Arial"/>
          <w:sz w:val="22"/>
          <w:lang w:eastAsia="zh-HK"/>
        </w:rPr>
        <w:t>client and consider, based on a risk approach, extending the check to the client</w:t>
      </w:r>
      <w:r>
        <w:rPr>
          <w:rFonts w:ascii="Arial" w:hAnsi="Arial" w:cs="Arial"/>
          <w:sz w:val="22"/>
          <w:lang w:eastAsia="zh-HK"/>
        </w:rPr>
        <w:t>’s</w:t>
      </w:r>
      <w:r w:rsidR="00A54D48" w:rsidRPr="00A54D48">
        <w:rPr>
          <w:rFonts w:ascii="Arial" w:hAnsi="Arial" w:cs="Arial"/>
          <w:sz w:val="22"/>
          <w:lang w:eastAsia="zh-HK"/>
        </w:rPr>
        <w:t xml:space="preserve"> beneficial owners against the latest UN [and US</w:t>
      </w:r>
      <w:r w:rsidR="00A54D48" w:rsidRPr="00CC09E0">
        <w:rPr>
          <w:rFonts w:ascii="Arial" w:hAnsi="Arial" w:cs="Arial"/>
          <w:i/>
          <w:sz w:val="22"/>
          <w:lang w:eastAsia="zh-HK"/>
        </w:rPr>
        <w:t xml:space="preserve"> </w:t>
      </w:r>
      <w:r w:rsidR="00A54D48" w:rsidRPr="00A54D48">
        <w:rPr>
          <w:rFonts w:ascii="Arial" w:hAnsi="Arial" w:cs="Arial"/>
          <w:sz w:val="22"/>
          <w:lang w:eastAsia="zh-HK"/>
        </w:rPr>
        <w:t xml:space="preserve">OFAC] sanction lists before the establishment of a business relationship </w:t>
      </w:r>
      <w:r>
        <w:rPr>
          <w:rFonts w:ascii="Arial" w:hAnsi="Arial" w:cs="Arial"/>
          <w:sz w:val="22"/>
          <w:lang w:eastAsia="zh-HK"/>
        </w:rPr>
        <w:t>with that client</w:t>
      </w:r>
      <w:r w:rsidR="00FD20CA">
        <w:rPr>
          <w:rFonts w:ascii="Arial" w:hAnsi="Arial" w:cs="Arial"/>
          <w:sz w:val="22"/>
          <w:lang w:eastAsia="zh-HK"/>
        </w:rPr>
        <w:t>,</w:t>
      </w:r>
      <w:r>
        <w:rPr>
          <w:rFonts w:ascii="Arial" w:hAnsi="Arial" w:cs="Arial"/>
          <w:sz w:val="22"/>
          <w:lang w:eastAsia="zh-HK"/>
        </w:rPr>
        <w:t xml:space="preserve"> regardless of what service is to be provided </w:t>
      </w:r>
      <w:r w:rsidR="00A54D48" w:rsidRPr="00A54D48">
        <w:rPr>
          <w:rFonts w:ascii="Arial" w:hAnsi="Arial" w:cs="Arial"/>
          <w:sz w:val="22"/>
          <w:lang w:eastAsia="zh-HK"/>
        </w:rPr>
        <w:t>and perform ongoing screening</w:t>
      </w:r>
      <w:r>
        <w:rPr>
          <w:rFonts w:ascii="Arial" w:hAnsi="Arial" w:cs="Arial"/>
          <w:sz w:val="22"/>
          <w:lang w:eastAsia="zh-HK"/>
        </w:rPr>
        <w:t xml:space="preserve"> of our client base</w:t>
      </w:r>
      <w:r w:rsidR="00A54D48" w:rsidRPr="00A54D48">
        <w:rPr>
          <w:rFonts w:ascii="Arial" w:hAnsi="Arial" w:cs="Arial"/>
          <w:sz w:val="22"/>
          <w:lang w:eastAsia="zh-HK"/>
        </w:rPr>
        <w:t xml:space="preserve"> regularly thereafter.</w:t>
      </w:r>
    </w:p>
    <w:p w14:paraId="6F966187" w14:textId="77777777" w:rsidR="00A54D48" w:rsidRPr="00A54D48" w:rsidRDefault="00A54D48" w:rsidP="00A031BD">
      <w:pPr>
        <w:snapToGrid w:val="0"/>
        <w:spacing w:line="280" w:lineRule="atLeast"/>
        <w:jc w:val="both"/>
        <w:rPr>
          <w:rFonts w:ascii="Arial" w:hAnsi="Arial" w:cs="Arial"/>
          <w:sz w:val="22"/>
          <w:lang w:eastAsia="zh-HK"/>
        </w:rPr>
      </w:pPr>
    </w:p>
    <w:p w14:paraId="77286C07" w14:textId="6796A3C1" w:rsidR="00A54D48" w:rsidRPr="00A54D48" w:rsidRDefault="004E6EE3" w:rsidP="00A031BD">
      <w:pPr>
        <w:snapToGrid w:val="0"/>
        <w:spacing w:line="280" w:lineRule="atLeast"/>
        <w:jc w:val="both"/>
        <w:rPr>
          <w:rFonts w:ascii="Arial" w:hAnsi="Arial" w:cs="Arial"/>
          <w:sz w:val="22"/>
          <w:lang w:eastAsia="zh-HK"/>
        </w:rPr>
      </w:pPr>
      <w:r>
        <w:rPr>
          <w:rFonts w:ascii="Arial" w:hAnsi="Arial" w:cs="Arial"/>
          <w:sz w:val="22"/>
          <w:lang w:eastAsia="zh-HK"/>
        </w:rPr>
        <w:t xml:space="preserve">We will </w:t>
      </w:r>
      <w:r w:rsidR="00A54D48" w:rsidRPr="00A54D48">
        <w:rPr>
          <w:rFonts w:ascii="Arial" w:hAnsi="Arial" w:cs="Arial"/>
          <w:sz w:val="22"/>
          <w:lang w:eastAsia="zh-HK"/>
        </w:rPr>
        <w:t xml:space="preserve">check for updates of UN sanction lists on a [weekly] [monthly] basis as it [has] [does not have] cases with high money laundering/terrorist financing (“ML /TF”) risks. </w:t>
      </w:r>
    </w:p>
    <w:p w14:paraId="64C54FA3" w14:textId="77777777" w:rsidR="00A54D48" w:rsidRPr="00CC09E0" w:rsidRDefault="00A54D48" w:rsidP="00A031BD">
      <w:pPr>
        <w:snapToGrid w:val="0"/>
        <w:spacing w:line="280" w:lineRule="atLeast"/>
        <w:jc w:val="both"/>
        <w:rPr>
          <w:rFonts w:ascii="Arial" w:hAnsi="Arial" w:cs="Arial"/>
          <w:i/>
          <w:sz w:val="22"/>
          <w:lang w:eastAsia="zh-HK"/>
        </w:rPr>
      </w:pPr>
      <w:r w:rsidRPr="00CC09E0">
        <w:rPr>
          <w:rFonts w:ascii="Arial" w:hAnsi="Arial" w:cs="Arial"/>
          <w:i/>
          <w:sz w:val="22"/>
          <w:lang w:eastAsia="zh-HK"/>
        </w:rPr>
        <w:t xml:space="preserve"> </w:t>
      </w:r>
    </w:p>
    <w:p w14:paraId="008D0D3D" w14:textId="77777777" w:rsidR="00A54D48" w:rsidRPr="00A54D48" w:rsidRDefault="00A54D48" w:rsidP="00A031BD">
      <w:pPr>
        <w:snapToGrid w:val="0"/>
        <w:spacing w:line="280" w:lineRule="atLeast"/>
        <w:jc w:val="both"/>
        <w:rPr>
          <w:rFonts w:ascii="Arial" w:hAnsi="Arial" w:cs="Arial"/>
          <w:sz w:val="22"/>
          <w:lang w:eastAsia="zh-HK"/>
        </w:rPr>
      </w:pPr>
      <w:r w:rsidRPr="00A54D48">
        <w:rPr>
          <w:rFonts w:ascii="Arial" w:hAnsi="Arial" w:cs="Arial"/>
          <w:sz w:val="22"/>
          <w:lang w:eastAsia="zh-HK"/>
        </w:rPr>
        <w:t>(c)</w:t>
      </w:r>
      <w:r w:rsidRPr="00A54D48">
        <w:rPr>
          <w:rFonts w:ascii="Arial" w:hAnsi="Arial" w:cs="Arial"/>
          <w:sz w:val="22"/>
          <w:lang w:eastAsia="zh-HK"/>
        </w:rPr>
        <w:tab/>
        <w:t xml:space="preserve">Reporting obligation </w:t>
      </w:r>
    </w:p>
    <w:p w14:paraId="3E419BA7" w14:textId="77777777" w:rsidR="00A54D48" w:rsidRPr="00A54D48" w:rsidRDefault="00A54D48" w:rsidP="00A031BD">
      <w:pPr>
        <w:snapToGrid w:val="0"/>
        <w:spacing w:line="280" w:lineRule="atLeast"/>
        <w:jc w:val="both"/>
        <w:rPr>
          <w:rFonts w:ascii="Arial" w:hAnsi="Arial" w:cs="Arial"/>
          <w:sz w:val="22"/>
          <w:lang w:eastAsia="zh-HK"/>
        </w:rPr>
      </w:pPr>
    </w:p>
    <w:p w14:paraId="75FD1BE0" w14:textId="0AC42882" w:rsidR="00A54D48" w:rsidRPr="00A54D48" w:rsidRDefault="00A54D48" w:rsidP="00A031BD">
      <w:pPr>
        <w:snapToGrid w:val="0"/>
        <w:spacing w:line="280" w:lineRule="atLeast"/>
        <w:jc w:val="both"/>
        <w:rPr>
          <w:rFonts w:ascii="Arial" w:hAnsi="Arial" w:cs="Arial"/>
          <w:sz w:val="22"/>
          <w:lang w:eastAsia="zh-HK"/>
        </w:rPr>
      </w:pPr>
      <w:r w:rsidRPr="00A54D48">
        <w:rPr>
          <w:rFonts w:ascii="Arial" w:hAnsi="Arial" w:cs="Arial"/>
          <w:sz w:val="22"/>
          <w:lang w:eastAsia="zh-HK"/>
        </w:rPr>
        <w:t xml:space="preserve">When </w:t>
      </w:r>
      <w:r w:rsidR="004E6EE3">
        <w:rPr>
          <w:rFonts w:ascii="Arial" w:hAnsi="Arial" w:cs="Arial"/>
          <w:sz w:val="22"/>
          <w:lang w:eastAsia="zh-HK"/>
        </w:rPr>
        <w:t>we</w:t>
      </w:r>
      <w:r w:rsidRPr="00A54D48">
        <w:rPr>
          <w:rFonts w:ascii="Arial" w:hAnsi="Arial" w:cs="Arial"/>
          <w:sz w:val="22"/>
          <w:lang w:eastAsia="zh-HK"/>
        </w:rPr>
        <w:t xml:space="preserve"> come across situations where </w:t>
      </w:r>
      <w:r w:rsidR="004E6EE3">
        <w:rPr>
          <w:rFonts w:ascii="Arial" w:hAnsi="Arial" w:cs="Arial"/>
          <w:sz w:val="22"/>
          <w:lang w:eastAsia="zh-HK"/>
        </w:rPr>
        <w:t>we</w:t>
      </w:r>
      <w:r w:rsidRPr="00A54D48">
        <w:rPr>
          <w:rFonts w:ascii="Arial" w:hAnsi="Arial" w:cs="Arial"/>
          <w:sz w:val="22"/>
          <w:lang w:eastAsia="zh-HK"/>
        </w:rPr>
        <w:t xml:space="preserve"> suspect that property belongs to a designated person or entity or is otherwise terrorist property, </w:t>
      </w:r>
      <w:r w:rsidR="004E6EE3">
        <w:rPr>
          <w:rFonts w:ascii="Arial" w:hAnsi="Arial" w:cs="Arial"/>
          <w:sz w:val="22"/>
          <w:lang w:eastAsia="zh-HK"/>
        </w:rPr>
        <w:t>we have</w:t>
      </w:r>
      <w:r w:rsidRPr="00A54D48">
        <w:rPr>
          <w:rFonts w:ascii="Arial" w:hAnsi="Arial" w:cs="Arial"/>
          <w:sz w:val="22"/>
          <w:lang w:eastAsia="zh-HK"/>
        </w:rPr>
        <w:t xml:space="preserve"> a responsibility to stop dealing with the property and report to the Joint Financial Intelligence Unit (see</w:t>
      </w:r>
      <w:r w:rsidR="00A031BD">
        <w:rPr>
          <w:rFonts w:ascii="Arial" w:hAnsi="Arial" w:cs="Arial"/>
          <w:sz w:val="22"/>
          <w:lang w:eastAsia="zh-HK"/>
        </w:rPr>
        <w:t xml:space="preserve"> S</w:t>
      </w:r>
      <w:r w:rsidR="00250886">
        <w:rPr>
          <w:rFonts w:ascii="Arial" w:hAnsi="Arial" w:cs="Arial"/>
          <w:sz w:val="22"/>
          <w:lang w:eastAsia="zh-HK"/>
        </w:rPr>
        <w:t>ection D</w:t>
      </w:r>
      <w:r w:rsidRPr="00A54D48">
        <w:rPr>
          <w:rFonts w:ascii="Arial" w:hAnsi="Arial" w:cs="Arial"/>
          <w:sz w:val="22"/>
          <w:lang w:eastAsia="zh-HK"/>
        </w:rPr>
        <w:t xml:space="preserve"> “Reporting of suspicious transactions” for details).</w:t>
      </w:r>
    </w:p>
    <w:p w14:paraId="54D261FD" w14:textId="540B0EEA" w:rsidR="00A54D48" w:rsidRPr="0085362C" w:rsidRDefault="00A54D48" w:rsidP="0085362C">
      <w:pPr>
        <w:snapToGrid w:val="0"/>
        <w:spacing w:line="280" w:lineRule="atLeast"/>
        <w:jc w:val="both"/>
        <w:rPr>
          <w:rFonts w:ascii="Arial" w:hAnsi="Arial"/>
          <w:sz w:val="22"/>
        </w:rPr>
      </w:pPr>
    </w:p>
    <w:p w14:paraId="751C815E" w14:textId="4033A14D" w:rsidR="00A031BD" w:rsidRPr="00A031BD" w:rsidRDefault="00A031BD" w:rsidP="0085362C">
      <w:pPr>
        <w:pStyle w:val="ListParagraph"/>
        <w:numPr>
          <w:ilvl w:val="0"/>
          <w:numId w:val="10"/>
        </w:numPr>
        <w:snapToGrid w:val="0"/>
        <w:spacing w:line="280" w:lineRule="atLeast"/>
        <w:ind w:left="360"/>
        <w:jc w:val="both"/>
        <w:rPr>
          <w:rFonts w:ascii="Arial" w:hAnsi="Arial" w:cs="Arial"/>
          <w:b/>
          <w:i/>
          <w:szCs w:val="24"/>
        </w:rPr>
      </w:pPr>
      <w:r w:rsidRPr="00A031BD">
        <w:rPr>
          <w:rFonts w:ascii="Arial" w:hAnsi="Arial" w:cs="Arial"/>
          <w:b/>
          <w:i/>
          <w:szCs w:val="24"/>
        </w:rPr>
        <w:t>Reporting of suspicious transactions</w:t>
      </w:r>
    </w:p>
    <w:p w14:paraId="619BD933" w14:textId="77777777" w:rsidR="00A031BD" w:rsidRDefault="00A031BD" w:rsidP="0085362C">
      <w:pPr>
        <w:snapToGrid w:val="0"/>
        <w:spacing w:line="280" w:lineRule="atLeast"/>
        <w:jc w:val="both"/>
        <w:rPr>
          <w:rFonts w:ascii="Arial" w:hAnsi="Arial" w:cs="Arial"/>
          <w:sz w:val="22"/>
        </w:rPr>
      </w:pPr>
    </w:p>
    <w:p w14:paraId="181D7471" w14:textId="4C15571F" w:rsidR="00A031BD" w:rsidRDefault="00A031BD" w:rsidP="00A031BD">
      <w:pPr>
        <w:snapToGrid w:val="0"/>
        <w:spacing w:line="280" w:lineRule="atLeast"/>
        <w:jc w:val="both"/>
        <w:rPr>
          <w:rFonts w:ascii="Arial" w:hAnsi="Arial" w:cs="Arial"/>
          <w:sz w:val="22"/>
        </w:rPr>
      </w:pPr>
      <w:r w:rsidRPr="00020DE7">
        <w:rPr>
          <w:rFonts w:ascii="Arial" w:hAnsi="Arial" w:cs="Arial"/>
          <w:sz w:val="22"/>
        </w:rPr>
        <w:t>All principals and staff must report knowledge or suspicion of money laundering (including bribery and tax</w:t>
      </w:r>
      <w:r>
        <w:rPr>
          <w:rFonts w:ascii="Arial" w:hAnsi="Arial" w:cs="Arial"/>
          <w:sz w:val="22"/>
        </w:rPr>
        <w:t xml:space="preserve"> </w:t>
      </w:r>
      <w:r w:rsidRPr="00020DE7">
        <w:rPr>
          <w:rFonts w:ascii="Arial" w:hAnsi="Arial" w:cs="Arial"/>
          <w:sz w:val="22"/>
        </w:rPr>
        <w:t>evasion)</w:t>
      </w:r>
      <w:r w:rsidR="00A82862">
        <w:rPr>
          <w:rFonts w:ascii="Arial" w:hAnsi="Arial" w:cs="Arial"/>
          <w:sz w:val="22"/>
        </w:rPr>
        <w:t xml:space="preserve"> or terrorist financing</w:t>
      </w:r>
      <w:r w:rsidRPr="00020DE7">
        <w:rPr>
          <w:rFonts w:ascii="Arial" w:hAnsi="Arial" w:cs="Arial"/>
          <w:sz w:val="22"/>
        </w:rPr>
        <w:t>, whether it relates to clients or other parties.</w:t>
      </w:r>
      <w:r w:rsidR="00A82862" w:rsidRPr="00A82862">
        <w:rPr>
          <w:rFonts w:ascii="Arial" w:hAnsi="Arial" w:cs="Arial"/>
          <w:sz w:val="22"/>
          <w:lang w:eastAsia="zh-HK"/>
        </w:rPr>
        <w:t xml:space="preserve"> </w:t>
      </w:r>
      <w:r w:rsidR="00A82862">
        <w:rPr>
          <w:rFonts w:ascii="Arial" w:hAnsi="Arial" w:cs="Arial"/>
          <w:sz w:val="22"/>
          <w:lang w:eastAsia="zh-HK"/>
        </w:rPr>
        <w:t>It i</w:t>
      </w:r>
      <w:r w:rsidR="00E71DE2">
        <w:rPr>
          <w:rFonts w:ascii="Arial" w:hAnsi="Arial" w:cs="Arial"/>
          <w:sz w:val="22"/>
          <w:lang w:eastAsia="zh-HK"/>
        </w:rPr>
        <w:t>s a criminal</w:t>
      </w:r>
      <w:r w:rsidR="00A82862">
        <w:rPr>
          <w:rFonts w:ascii="Arial" w:hAnsi="Arial" w:cs="Arial"/>
          <w:sz w:val="22"/>
          <w:lang w:eastAsia="zh-HK"/>
        </w:rPr>
        <w:t xml:space="preserve"> offence</w:t>
      </w:r>
      <w:r w:rsidRPr="00020DE7">
        <w:rPr>
          <w:rFonts w:ascii="Arial" w:hAnsi="Arial" w:cs="Arial"/>
          <w:sz w:val="22"/>
        </w:rPr>
        <w:t xml:space="preserve"> </w:t>
      </w:r>
      <w:r w:rsidR="00A82862">
        <w:rPr>
          <w:rFonts w:ascii="Arial" w:hAnsi="Arial" w:cs="Arial"/>
          <w:sz w:val="22"/>
        </w:rPr>
        <w:t>under OSCO, DTROP and also the United Nation</w:t>
      </w:r>
      <w:r w:rsidR="00E71DE2">
        <w:rPr>
          <w:rFonts w:ascii="Arial" w:hAnsi="Arial" w:cs="Arial"/>
          <w:sz w:val="22"/>
        </w:rPr>
        <w:t>s</w:t>
      </w:r>
      <w:r w:rsidR="00A82862">
        <w:rPr>
          <w:rFonts w:ascii="Arial" w:hAnsi="Arial" w:cs="Arial"/>
          <w:sz w:val="22"/>
        </w:rPr>
        <w:t xml:space="preserve"> (Anti-Terrorism Measures) Ordinanc</w:t>
      </w:r>
      <w:r w:rsidR="00E71DE2">
        <w:rPr>
          <w:rFonts w:ascii="Arial" w:hAnsi="Arial" w:cs="Arial"/>
          <w:sz w:val="22"/>
        </w:rPr>
        <w:t>e</w:t>
      </w:r>
      <w:r w:rsidR="00A82862">
        <w:rPr>
          <w:rFonts w:ascii="Arial" w:hAnsi="Arial" w:cs="Arial"/>
          <w:sz w:val="22"/>
        </w:rPr>
        <w:t xml:space="preserve"> to </w:t>
      </w:r>
      <w:r w:rsidR="00E71DE2">
        <w:rPr>
          <w:rFonts w:ascii="Arial" w:hAnsi="Arial" w:cs="Arial"/>
          <w:sz w:val="22"/>
        </w:rPr>
        <w:t>fail to report where</w:t>
      </w:r>
      <w:r w:rsidR="00A82862">
        <w:rPr>
          <w:rFonts w:ascii="Arial" w:hAnsi="Arial" w:cs="Arial"/>
          <w:sz w:val="22"/>
        </w:rPr>
        <w:t xml:space="preserve"> the requisite knowledge or suspicion exists. </w:t>
      </w:r>
      <w:r w:rsidRPr="00020DE7">
        <w:rPr>
          <w:rFonts w:ascii="Arial" w:hAnsi="Arial" w:cs="Arial"/>
          <w:sz w:val="22"/>
        </w:rPr>
        <w:t>Before deciding that a potentially suspect activity is not</w:t>
      </w:r>
      <w:r>
        <w:rPr>
          <w:rFonts w:ascii="Arial" w:hAnsi="Arial" w:cs="Arial"/>
          <w:sz w:val="22"/>
        </w:rPr>
        <w:t xml:space="preserve"> </w:t>
      </w:r>
      <w:r w:rsidRPr="00020DE7">
        <w:rPr>
          <w:rFonts w:ascii="Arial" w:hAnsi="Arial" w:cs="Arial"/>
          <w:sz w:val="22"/>
        </w:rPr>
        <w:t>suspicious, you should consider whether</w:t>
      </w:r>
      <w:r w:rsidR="00670510">
        <w:rPr>
          <w:rFonts w:ascii="Arial" w:hAnsi="Arial" w:cs="Arial"/>
          <w:sz w:val="22"/>
        </w:rPr>
        <w:t xml:space="preserve"> </w:t>
      </w:r>
      <w:r w:rsidRPr="00020DE7">
        <w:rPr>
          <w:rFonts w:ascii="Arial" w:hAnsi="Arial" w:cs="Arial"/>
          <w:sz w:val="22"/>
        </w:rPr>
        <w:t xml:space="preserve">the information </w:t>
      </w:r>
      <w:r w:rsidR="00670510">
        <w:rPr>
          <w:rFonts w:ascii="Arial" w:hAnsi="Arial" w:cs="Arial"/>
          <w:sz w:val="22"/>
        </w:rPr>
        <w:t xml:space="preserve">that </w:t>
      </w:r>
      <w:r w:rsidRPr="00020DE7">
        <w:rPr>
          <w:rFonts w:ascii="Arial" w:hAnsi="Arial" w:cs="Arial"/>
          <w:sz w:val="22"/>
        </w:rPr>
        <w:t>you have</w:t>
      </w:r>
      <w:r w:rsidR="00670510">
        <w:rPr>
          <w:rFonts w:ascii="Arial" w:hAnsi="Arial" w:cs="Arial"/>
          <w:sz w:val="22"/>
        </w:rPr>
        <w:t>, taken in its entirety,</w:t>
      </w:r>
      <w:r w:rsidRPr="00020DE7">
        <w:rPr>
          <w:rFonts w:ascii="Arial" w:hAnsi="Arial" w:cs="Arial"/>
          <w:sz w:val="22"/>
        </w:rPr>
        <w:t xml:space="preserve"> might provide “reasonable grounds for</w:t>
      </w:r>
      <w:r w:rsidR="00EE0C7E">
        <w:rPr>
          <w:rFonts w:ascii="Arial" w:hAnsi="Arial" w:cs="Arial"/>
          <w:sz w:val="22"/>
        </w:rPr>
        <w:t xml:space="preserve"> </w:t>
      </w:r>
      <w:r w:rsidRPr="00020DE7">
        <w:rPr>
          <w:rFonts w:ascii="Arial" w:hAnsi="Arial" w:cs="Arial"/>
          <w:sz w:val="22"/>
        </w:rPr>
        <w:t>knowledge or suspicion”</w:t>
      </w:r>
      <w:r w:rsidR="00670510">
        <w:rPr>
          <w:rFonts w:ascii="Arial" w:hAnsi="Arial" w:cs="Arial"/>
          <w:sz w:val="22"/>
        </w:rPr>
        <w:t>, i.e.</w:t>
      </w:r>
      <w:r w:rsidR="00670510" w:rsidRPr="00670510">
        <w:rPr>
          <w:rFonts w:ascii="Arial" w:hAnsi="Arial" w:cs="Arial"/>
          <w:sz w:val="22"/>
        </w:rPr>
        <w:t xml:space="preserve"> </w:t>
      </w:r>
      <w:r w:rsidR="00670510">
        <w:rPr>
          <w:rFonts w:ascii="Arial" w:hAnsi="Arial" w:cs="Arial"/>
          <w:sz w:val="22"/>
        </w:rPr>
        <w:t xml:space="preserve">in the eyes of a third </w:t>
      </w:r>
      <w:r w:rsidR="00670510">
        <w:rPr>
          <w:rFonts w:ascii="Arial" w:hAnsi="Arial" w:cs="Arial"/>
          <w:sz w:val="22"/>
        </w:rPr>
        <w:lastRenderedPageBreak/>
        <w:t>party</w:t>
      </w:r>
      <w:r w:rsidRPr="00020DE7">
        <w:rPr>
          <w:rFonts w:ascii="Arial" w:hAnsi="Arial" w:cs="Arial"/>
          <w:sz w:val="22"/>
        </w:rPr>
        <w:t>.</w:t>
      </w:r>
    </w:p>
    <w:p w14:paraId="3D08C960" w14:textId="77777777" w:rsidR="00A031BD" w:rsidRPr="00020DE7" w:rsidRDefault="00A031BD" w:rsidP="0085362C">
      <w:pPr>
        <w:snapToGrid w:val="0"/>
        <w:spacing w:line="280" w:lineRule="atLeast"/>
        <w:jc w:val="both"/>
        <w:rPr>
          <w:rFonts w:ascii="Arial" w:hAnsi="Arial" w:cs="Arial"/>
          <w:sz w:val="22"/>
        </w:rPr>
      </w:pPr>
    </w:p>
    <w:p w14:paraId="152235CE" w14:textId="77777777" w:rsidR="00A031BD" w:rsidRPr="00020DE7" w:rsidRDefault="00A031BD" w:rsidP="0085362C">
      <w:pPr>
        <w:snapToGrid w:val="0"/>
        <w:spacing w:line="280" w:lineRule="atLeast"/>
        <w:jc w:val="both"/>
        <w:rPr>
          <w:rFonts w:ascii="Arial" w:hAnsi="Arial" w:cs="Arial"/>
          <w:sz w:val="22"/>
        </w:rPr>
      </w:pPr>
      <w:r w:rsidRPr="00020DE7">
        <w:rPr>
          <w:rFonts w:ascii="Arial" w:hAnsi="Arial" w:cs="Arial"/>
          <w:sz w:val="22"/>
        </w:rPr>
        <w:t xml:space="preserve">If in doubt, discuss your concerns with the practice’s MLRO </w:t>
      </w:r>
      <w:r w:rsidRPr="00E310DF">
        <w:rPr>
          <w:rFonts w:ascii="Arial" w:hAnsi="Arial" w:cs="Arial"/>
          <w:i/>
          <w:sz w:val="22"/>
        </w:rPr>
        <w:t xml:space="preserve">[name of MLRO] </w:t>
      </w:r>
      <w:r w:rsidRPr="00020DE7">
        <w:rPr>
          <w:rFonts w:ascii="Arial" w:hAnsi="Arial" w:cs="Arial"/>
          <w:sz w:val="22"/>
        </w:rPr>
        <w:t xml:space="preserve">or deputy MLRO </w:t>
      </w:r>
      <w:r w:rsidRPr="00E310DF">
        <w:rPr>
          <w:rFonts w:ascii="Arial" w:hAnsi="Arial" w:cs="Arial"/>
          <w:i/>
          <w:sz w:val="22"/>
        </w:rPr>
        <w:t>[name of deputy MLRO].</w:t>
      </w:r>
    </w:p>
    <w:p w14:paraId="13D1DD1E" w14:textId="5C3DE95A" w:rsidR="00A031BD" w:rsidRPr="0085362C" w:rsidRDefault="00A031BD" w:rsidP="0085362C">
      <w:pPr>
        <w:snapToGrid w:val="0"/>
        <w:spacing w:line="280" w:lineRule="atLeast"/>
        <w:jc w:val="both"/>
        <w:rPr>
          <w:rFonts w:ascii="Arial" w:hAnsi="Arial"/>
          <w:sz w:val="22"/>
        </w:rPr>
      </w:pPr>
    </w:p>
    <w:p w14:paraId="548D8EA6" w14:textId="01F9D0BD" w:rsidR="005773DC" w:rsidRPr="005773DC" w:rsidRDefault="005773DC" w:rsidP="0085362C">
      <w:pPr>
        <w:pStyle w:val="ListParagraph"/>
        <w:numPr>
          <w:ilvl w:val="0"/>
          <w:numId w:val="10"/>
        </w:numPr>
        <w:snapToGrid w:val="0"/>
        <w:spacing w:line="280" w:lineRule="atLeast"/>
        <w:ind w:left="360"/>
        <w:jc w:val="both"/>
        <w:rPr>
          <w:rFonts w:ascii="Arial" w:hAnsi="Arial" w:cs="Arial"/>
          <w:b/>
          <w:i/>
          <w:szCs w:val="24"/>
        </w:rPr>
      </w:pPr>
      <w:r w:rsidRPr="005773DC">
        <w:rPr>
          <w:rFonts w:ascii="Arial" w:hAnsi="Arial" w:cs="Arial"/>
          <w:b/>
          <w:i/>
          <w:szCs w:val="24"/>
        </w:rPr>
        <w:t>Avoiding tipping off</w:t>
      </w:r>
    </w:p>
    <w:p w14:paraId="55A655B0" w14:textId="77777777" w:rsidR="005773DC" w:rsidRPr="00094A8E" w:rsidRDefault="005773DC" w:rsidP="0085362C">
      <w:pPr>
        <w:snapToGrid w:val="0"/>
        <w:spacing w:line="280" w:lineRule="atLeast"/>
        <w:jc w:val="both"/>
        <w:rPr>
          <w:rFonts w:ascii="Arial" w:hAnsi="Arial" w:cs="Arial"/>
          <w:b/>
          <w:i/>
          <w:sz w:val="22"/>
        </w:rPr>
      </w:pPr>
    </w:p>
    <w:p w14:paraId="6932238A" w14:textId="77777777" w:rsidR="005773DC" w:rsidRPr="00020DE7" w:rsidRDefault="005773DC" w:rsidP="0085362C">
      <w:pPr>
        <w:snapToGrid w:val="0"/>
        <w:spacing w:line="280" w:lineRule="atLeast"/>
        <w:jc w:val="both"/>
        <w:rPr>
          <w:rFonts w:ascii="Arial" w:hAnsi="Arial" w:cs="Arial"/>
          <w:sz w:val="22"/>
        </w:rPr>
      </w:pPr>
      <w:r w:rsidRPr="00020DE7">
        <w:rPr>
          <w:rFonts w:ascii="Arial" w:hAnsi="Arial" w:cs="Arial"/>
          <w:sz w:val="22"/>
        </w:rPr>
        <w:t>In the event of a report being made to the MLRO or to Joint Financial Intelligence Unit (JFIU), under no</w:t>
      </w:r>
      <w:r>
        <w:rPr>
          <w:rFonts w:ascii="Arial" w:hAnsi="Arial" w:cs="Arial"/>
          <w:sz w:val="22"/>
        </w:rPr>
        <w:t xml:space="preserve"> </w:t>
      </w:r>
      <w:r w:rsidRPr="00020DE7">
        <w:rPr>
          <w:rFonts w:ascii="Arial" w:hAnsi="Arial" w:cs="Arial"/>
          <w:sz w:val="22"/>
        </w:rPr>
        <w:t xml:space="preserve">circumstances must the client be informed. This means that the client must </w:t>
      </w:r>
      <w:r w:rsidRPr="00E310DF">
        <w:rPr>
          <w:rFonts w:ascii="Arial" w:hAnsi="Arial" w:cs="Arial"/>
          <w:sz w:val="22"/>
          <w:u w:val="single"/>
        </w:rPr>
        <w:t>not</w:t>
      </w:r>
      <w:r w:rsidRPr="00020DE7">
        <w:rPr>
          <w:rFonts w:ascii="Arial" w:hAnsi="Arial" w:cs="Arial"/>
          <w:sz w:val="22"/>
        </w:rPr>
        <w:t xml:space="preserve"> be made aware that a report</w:t>
      </w:r>
      <w:r>
        <w:rPr>
          <w:rFonts w:ascii="Arial" w:hAnsi="Arial" w:cs="Arial"/>
          <w:sz w:val="22"/>
        </w:rPr>
        <w:t xml:space="preserve"> </w:t>
      </w:r>
      <w:r w:rsidRPr="00020DE7">
        <w:rPr>
          <w:rFonts w:ascii="Arial" w:hAnsi="Arial" w:cs="Arial"/>
          <w:sz w:val="22"/>
        </w:rPr>
        <w:t xml:space="preserve">has been made. It also means that the client should </w:t>
      </w:r>
      <w:r w:rsidRPr="00E310DF">
        <w:rPr>
          <w:rFonts w:ascii="Arial" w:hAnsi="Arial" w:cs="Arial"/>
          <w:sz w:val="22"/>
          <w:u w:val="single"/>
        </w:rPr>
        <w:t>not</w:t>
      </w:r>
      <w:r w:rsidRPr="00020DE7">
        <w:rPr>
          <w:rFonts w:ascii="Arial" w:hAnsi="Arial" w:cs="Arial"/>
          <w:sz w:val="22"/>
        </w:rPr>
        <w:t xml:space="preserve"> be made aware if an investigation into allegations</w:t>
      </w:r>
      <w:r>
        <w:rPr>
          <w:rFonts w:ascii="Arial" w:hAnsi="Arial" w:cs="Arial"/>
          <w:sz w:val="22"/>
        </w:rPr>
        <w:t xml:space="preserve"> </w:t>
      </w:r>
      <w:r w:rsidRPr="00020DE7">
        <w:rPr>
          <w:rFonts w:ascii="Arial" w:hAnsi="Arial" w:cs="Arial"/>
          <w:sz w:val="22"/>
        </w:rPr>
        <w:t>that a money laundering offence has been committed is being contemplated or carried out.</w:t>
      </w:r>
    </w:p>
    <w:p w14:paraId="438A66D5" w14:textId="77777777" w:rsidR="005773DC" w:rsidRDefault="005773DC" w:rsidP="0085362C">
      <w:pPr>
        <w:snapToGrid w:val="0"/>
        <w:spacing w:line="280" w:lineRule="atLeast"/>
        <w:jc w:val="both"/>
        <w:rPr>
          <w:rFonts w:ascii="Arial" w:hAnsi="Arial" w:cs="Arial"/>
          <w:sz w:val="22"/>
        </w:rPr>
      </w:pPr>
    </w:p>
    <w:p w14:paraId="2F97E354" w14:textId="5FC0E00A" w:rsidR="005773DC" w:rsidRPr="00020DE7" w:rsidRDefault="005773DC" w:rsidP="0085362C">
      <w:pPr>
        <w:snapToGrid w:val="0"/>
        <w:spacing w:line="280" w:lineRule="atLeast"/>
        <w:jc w:val="both"/>
        <w:rPr>
          <w:rFonts w:ascii="Arial" w:hAnsi="Arial" w:cs="Arial"/>
          <w:sz w:val="22"/>
        </w:rPr>
      </w:pPr>
      <w:r w:rsidRPr="00020DE7">
        <w:rPr>
          <w:rFonts w:ascii="Arial" w:hAnsi="Arial" w:cs="Arial"/>
          <w:sz w:val="22"/>
        </w:rPr>
        <w:t>Generally, disclosure, not only to the client but to any other person, of any matter that is likely to prejudice an</w:t>
      </w:r>
      <w:r>
        <w:rPr>
          <w:rFonts w:ascii="Arial" w:hAnsi="Arial" w:cs="Arial"/>
          <w:sz w:val="22"/>
        </w:rPr>
        <w:t xml:space="preserve"> </w:t>
      </w:r>
      <w:r w:rsidRPr="00020DE7">
        <w:rPr>
          <w:rFonts w:ascii="Arial" w:hAnsi="Arial" w:cs="Arial"/>
          <w:sz w:val="22"/>
        </w:rPr>
        <w:t xml:space="preserve">investigation, once a report is known or suspected to have been made, is </w:t>
      </w:r>
      <w:r w:rsidR="008B06CA">
        <w:rPr>
          <w:rFonts w:ascii="Arial" w:hAnsi="Arial" w:cs="Arial"/>
          <w:sz w:val="22"/>
        </w:rPr>
        <w:t>a criminal</w:t>
      </w:r>
      <w:r w:rsidR="00A82862">
        <w:rPr>
          <w:rFonts w:ascii="Arial" w:hAnsi="Arial" w:cs="Arial"/>
          <w:sz w:val="22"/>
        </w:rPr>
        <w:t xml:space="preserve"> offence</w:t>
      </w:r>
      <w:r w:rsidRPr="00020DE7">
        <w:rPr>
          <w:rFonts w:ascii="Arial" w:hAnsi="Arial" w:cs="Arial"/>
          <w:sz w:val="22"/>
        </w:rPr>
        <w:t>. If it appears to be</w:t>
      </w:r>
      <w:r>
        <w:rPr>
          <w:rFonts w:ascii="Arial" w:hAnsi="Arial" w:cs="Arial"/>
          <w:sz w:val="22"/>
        </w:rPr>
        <w:t xml:space="preserve"> </w:t>
      </w:r>
      <w:r w:rsidRPr="00020DE7">
        <w:rPr>
          <w:rFonts w:ascii="Arial" w:hAnsi="Arial" w:cs="Arial"/>
          <w:sz w:val="22"/>
        </w:rPr>
        <w:t>necessary to disclose the existence of a report or an actual or contemplated investigation to any other</w:t>
      </w:r>
      <w:r>
        <w:rPr>
          <w:rFonts w:ascii="Arial" w:hAnsi="Arial" w:cs="Arial"/>
          <w:sz w:val="22"/>
        </w:rPr>
        <w:t xml:space="preserve"> </w:t>
      </w:r>
      <w:r w:rsidRPr="00020DE7">
        <w:rPr>
          <w:rFonts w:ascii="Arial" w:hAnsi="Arial" w:cs="Arial"/>
          <w:sz w:val="22"/>
        </w:rPr>
        <w:t>person (i.e. not the client) then the MLRO must be consulted before any disclosure is made.</w:t>
      </w:r>
    </w:p>
    <w:p w14:paraId="49E8838A" w14:textId="5E02AF34" w:rsidR="00094A8E" w:rsidRPr="0085362C" w:rsidRDefault="00094A8E" w:rsidP="0085362C">
      <w:pPr>
        <w:snapToGrid w:val="0"/>
        <w:spacing w:line="280" w:lineRule="atLeast"/>
        <w:jc w:val="both"/>
        <w:rPr>
          <w:rFonts w:ascii="Arial" w:hAnsi="Arial"/>
          <w:sz w:val="22"/>
        </w:rPr>
      </w:pPr>
    </w:p>
    <w:p w14:paraId="2B74473A" w14:textId="5237E6E0" w:rsidR="00020DE7" w:rsidRPr="00A60E32" w:rsidRDefault="00020DE7" w:rsidP="0085362C">
      <w:pPr>
        <w:pStyle w:val="ListParagraph"/>
        <w:numPr>
          <w:ilvl w:val="0"/>
          <w:numId w:val="10"/>
        </w:numPr>
        <w:snapToGrid w:val="0"/>
        <w:spacing w:line="280" w:lineRule="atLeast"/>
        <w:ind w:left="360"/>
        <w:jc w:val="both"/>
        <w:rPr>
          <w:rFonts w:ascii="Arial" w:hAnsi="Arial" w:cs="Arial"/>
          <w:b/>
          <w:i/>
        </w:rPr>
      </w:pPr>
      <w:r w:rsidRPr="00A60E32">
        <w:rPr>
          <w:rFonts w:ascii="Arial" w:hAnsi="Arial" w:cs="Arial"/>
          <w:b/>
          <w:i/>
        </w:rPr>
        <w:t>Customer due diligence measures</w:t>
      </w:r>
      <w:r w:rsidR="000A6B2F">
        <w:rPr>
          <w:rFonts w:ascii="Arial" w:hAnsi="Arial" w:cs="Arial"/>
          <w:b/>
          <w:i/>
        </w:rPr>
        <w:t xml:space="preserve"> (where applicable)</w:t>
      </w:r>
    </w:p>
    <w:p w14:paraId="2C681BA6" w14:textId="77777777" w:rsidR="008C3E0E" w:rsidRPr="00094A8E" w:rsidRDefault="008C3E0E" w:rsidP="0085362C">
      <w:pPr>
        <w:snapToGrid w:val="0"/>
        <w:spacing w:line="280" w:lineRule="atLeast"/>
        <w:jc w:val="both"/>
        <w:rPr>
          <w:rFonts w:ascii="Arial" w:hAnsi="Arial" w:cs="Arial"/>
          <w:b/>
          <w:i/>
        </w:rPr>
      </w:pPr>
    </w:p>
    <w:p w14:paraId="26DD3E62" w14:textId="055FC1DE" w:rsidR="00020DE7" w:rsidRDefault="000A6B2F" w:rsidP="0085362C">
      <w:pPr>
        <w:snapToGrid w:val="0"/>
        <w:spacing w:line="280" w:lineRule="atLeast"/>
        <w:jc w:val="both"/>
        <w:rPr>
          <w:rFonts w:ascii="Arial" w:hAnsi="Arial" w:cs="Arial"/>
          <w:sz w:val="22"/>
        </w:rPr>
      </w:pPr>
      <w:r>
        <w:rPr>
          <w:rFonts w:ascii="Arial" w:hAnsi="Arial" w:cs="Arial"/>
          <w:sz w:val="22"/>
        </w:rPr>
        <w:t>Where applicable, t</w:t>
      </w:r>
      <w:r w:rsidR="00020DE7" w:rsidRPr="00020DE7">
        <w:rPr>
          <w:rFonts w:ascii="Arial" w:hAnsi="Arial" w:cs="Arial"/>
          <w:sz w:val="22"/>
        </w:rPr>
        <w:t>he standard approach to verifying the identity of individuals will be (in order of preference):</w:t>
      </w:r>
    </w:p>
    <w:p w14:paraId="70935C29" w14:textId="77777777" w:rsidR="008C3E0E" w:rsidRPr="00020DE7" w:rsidRDefault="008C3E0E" w:rsidP="0085362C">
      <w:pPr>
        <w:snapToGrid w:val="0"/>
        <w:spacing w:line="280" w:lineRule="atLeast"/>
        <w:jc w:val="both"/>
        <w:rPr>
          <w:rFonts w:ascii="Arial" w:hAnsi="Arial" w:cs="Arial"/>
          <w:sz w:val="22"/>
        </w:rPr>
      </w:pPr>
    </w:p>
    <w:p w14:paraId="10AF05EE" w14:textId="77777777" w:rsidR="00020DE7" w:rsidRPr="00020DE7" w:rsidRDefault="00020DE7" w:rsidP="0085362C">
      <w:pPr>
        <w:snapToGrid w:val="0"/>
        <w:spacing w:line="280" w:lineRule="atLeast"/>
        <w:jc w:val="both"/>
        <w:rPr>
          <w:rFonts w:ascii="Arial" w:hAnsi="Arial" w:cs="Arial"/>
          <w:sz w:val="22"/>
        </w:rPr>
      </w:pPr>
      <w:r w:rsidRPr="00020DE7">
        <w:rPr>
          <w:rFonts w:ascii="Arial" w:hAnsi="Arial" w:cs="Arial"/>
          <w:sz w:val="22"/>
        </w:rPr>
        <w:t>For Hong Kong residents:</w:t>
      </w:r>
    </w:p>
    <w:p w14:paraId="25832426" w14:textId="6E854072" w:rsidR="00020DE7" w:rsidRPr="00094A8E" w:rsidRDefault="00020DE7" w:rsidP="0085362C">
      <w:pPr>
        <w:pStyle w:val="ListParagraph"/>
        <w:numPr>
          <w:ilvl w:val="0"/>
          <w:numId w:val="4"/>
        </w:numPr>
        <w:snapToGrid w:val="0"/>
        <w:spacing w:line="280" w:lineRule="atLeast"/>
        <w:contextualSpacing w:val="0"/>
        <w:jc w:val="both"/>
        <w:rPr>
          <w:rFonts w:ascii="Arial" w:hAnsi="Arial" w:cs="Arial"/>
          <w:sz w:val="22"/>
        </w:rPr>
      </w:pPr>
      <w:r w:rsidRPr="00094A8E">
        <w:rPr>
          <w:rFonts w:ascii="Arial" w:hAnsi="Arial" w:cs="Arial" w:hint="eastAsia"/>
          <w:sz w:val="22"/>
        </w:rPr>
        <w:t>A Hong Kong identity card</w:t>
      </w:r>
    </w:p>
    <w:p w14:paraId="4B5268EA" w14:textId="77777777" w:rsidR="00A60E32" w:rsidRDefault="00A60E32" w:rsidP="00A031BD">
      <w:pPr>
        <w:snapToGrid w:val="0"/>
        <w:spacing w:line="280" w:lineRule="atLeast"/>
        <w:jc w:val="both"/>
        <w:rPr>
          <w:rFonts w:ascii="Arial" w:hAnsi="Arial" w:cs="Arial"/>
          <w:sz w:val="22"/>
        </w:rPr>
      </w:pPr>
    </w:p>
    <w:p w14:paraId="330E917C" w14:textId="7A668D94" w:rsidR="00020DE7" w:rsidRPr="00020DE7" w:rsidRDefault="00020DE7" w:rsidP="0085362C">
      <w:pPr>
        <w:snapToGrid w:val="0"/>
        <w:spacing w:line="280" w:lineRule="atLeast"/>
        <w:jc w:val="both"/>
        <w:rPr>
          <w:rFonts w:ascii="Arial" w:hAnsi="Arial" w:cs="Arial"/>
          <w:sz w:val="22"/>
        </w:rPr>
      </w:pPr>
      <w:r w:rsidRPr="00020DE7">
        <w:rPr>
          <w:rFonts w:ascii="Arial" w:hAnsi="Arial" w:cs="Arial"/>
          <w:sz w:val="22"/>
        </w:rPr>
        <w:t>For others:</w:t>
      </w:r>
    </w:p>
    <w:p w14:paraId="50F0070E" w14:textId="38B5E1FA" w:rsidR="00020DE7" w:rsidRPr="00094A8E" w:rsidRDefault="00020DE7" w:rsidP="0085362C">
      <w:pPr>
        <w:pStyle w:val="ListParagraph"/>
        <w:numPr>
          <w:ilvl w:val="0"/>
          <w:numId w:val="4"/>
        </w:numPr>
        <w:snapToGrid w:val="0"/>
        <w:spacing w:line="280" w:lineRule="atLeast"/>
        <w:contextualSpacing w:val="0"/>
        <w:jc w:val="both"/>
        <w:rPr>
          <w:rFonts w:ascii="Arial" w:hAnsi="Arial" w:cs="Arial"/>
          <w:sz w:val="22"/>
        </w:rPr>
      </w:pPr>
      <w:r w:rsidRPr="00094A8E">
        <w:rPr>
          <w:rFonts w:ascii="Arial" w:hAnsi="Arial" w:cs="Arial" w:hint="eastAsia"/>
          <w:sz w:val="22"/>
        </w:rPr>
        <w:t>a valid international passport or other travel document;</w:t>
      </w:r>
    </w:p>
    <w:p w14:paraId="234B8917" w14:textId="40E5F175" w:rsidR="00020DE7" w:rsidRPr="00094A8E" w:rsidRDefault="00020DE7" w:rsidP="0085362C">
      <w:pPr>
        <w:pStyle w:val="ListParagraph"/>
        <w:numPr>
          <w:ilvl w:val="0"/>
          <w:numId w:val="4"/>
        </w:numPr>
        <w:snapToGrid w:val="0"/>
        <w:spacing w:line="280" w:lineRule="atLeast"/>
        <w:contextualSpacing w:val="0"/>
        <w:jc w:val="both"/>
        <w:rPr>
          <w:rFonts w:ascii="Arial" w:hAnsi="Arial" w:cs="Arial"/>
          <w:sz w:val="22"/>
        </w:rPr>
      </w:pPr>
      <w:r w:rsidRPr="00094A8E">
        <w:rPr>
          <w:rFonts w:ascii="Arial" w:hAnsi="Arial" w:cs="Arial" w:hint="eastAsia"/>
          <w:sz w:val="22"/>
        </w:rPr>
        <w:t>a current national (i.e., government or state-issued) identity card bearing the photograph of the individual;</w:t>
      </w:r>
    </w:p>
    <w:p w14:paraId="0BE106AB" w14:textId="459D259C" w:rsidR="00020DE7" w:rsidRPr="00094A8E" w:rsidRDefault="00020DE7" w:rsidP="0085362C">
      <w:pPr>
        <w:pStyle w:val="ListParagraph"/>
        <w:numPr>
          <w:ilvl w:val="0"/>
          <w:numId w:val="4"/>
        </w:numPr>
        <w:snapToGrid w:val="0"/>
        <w:spacing w:line="280" w:lineRule="atLeast"/>
        <w:contextualSpacing w:val="0"/>
        <w:jc w:val="both"/>
        <w:rPr>
          <w:rFonts w:ascii="Arial" w:hAnsi="Arial" w:cs="Arial"/>
          <w:sz w:val="22"/>
        </w:rPr>
      </w:pPr>
      <w:r w:rsidRPr="00094A8E">
        <w:rPr>
          <w:rFonts w:ascii="Arial" w:hAnsi="Arial" w:cs="Arial" w:hint="eastAsia"/>
          <w:sz w:val="22"/>
        </w:rPr>
        <w:t>a current valid national (i.e., government or state-issued) driving licence incorporating photographic</w:t>
      </w:r>
      <w:r w:rsidR="00094A8E">
        <w:rPr>
          <w:rFonts w:ascii="Arial" w:hAnsi="Arial" w:cs="Arial"/>
          <w:sz w:val="22"/>
        </w:rPr>
        <w:t xml:space="preserve"> </w:t>
      </w:r>
      <w:r w:rsidRPr="00094A8E">
        <w:rPr>
          <w:rFonts w:ascii="Arial" w:hAnsi="Arial" w:cs="Arial"/>
          <w:sz w:val="22"/>
        </w:rPr>
        <w:t>evidence of the identity of the applicant, issued by a competent national or state authority;</w:t>
      </w:r>
    </w:p>
    <w:p w14:paraId="52C98771" w14:textId="7E083B31" w:rsidR="00020DE7" w:rsidRPr="00094A8E" w:rsidRDefault="00020DE7" w:rsidP="0085362C">
      <w:pPr>
        <w:pStyle w:val="ListParagraph"/>
        <w:numPr>
          <w:ilvl w:val="0"/>
          <w:numId w:val="4"/>
        </w:numPr>
        <w:snapToGrid w:val="0"/>
        <w:spacing w:line="280" w:lineRule="atLeast"/>
        <w:contextualSpacing w:val="0"/>
        <w:jc w:val="both"/>
        <w:rPr>
          <w:rFonts w:ascii="Arial" w:hAnsi="Arial" w:cs="Arial"/>
          <w:sz w:val="22"/>
        </w:rPr>
      </w:pPr>
      <w:r w:rsidRPr="00094A8E">
        <w:rPr>
          <w:rFonts w:ascii="Arial" w:hAnsi="Arial" w:cs="Arial" w:hint="eastAsia"/>
          <w:sz w:val="22"/>
        </w:rPr>
        <w:t>other documents as appropriate; or</w:t>
      </w:r>
    </w:p>
    <w:p w14:paraId="185DD22B" w14:textId="61C0E83F" w:rsidR="00020DE7" w:rsidRPr="00094A8E" w:rsidRDefault="00020DE7" w:rsidP="0085362C">
      <w:pPr>
        <w:pStyle w:val="ListParagraph"/>
        <w:numPr>
          <w:ilvl w:val="0"/>
          <w:numId w:val="4"/>
        </w:numPr>
        <w:snapToGrid w:val="0"/>
        <w:spacing w:line="280" w:lineRule="atLeast"/>
        <w:contextualSpacing w:val="0"/>
        <w:jc w:val="both"/>
        <w:rPr>
          <w:rFonts w:ascii="Arial" w:hAnsi="Arial" w:cs="Arial"/>
          <w:sz w:val="22"/>
        </w:rPr>
      </w:pPr>
      <w:r w:rsidRPr="00094A8E">
        <w:rPr>
          <w:rFonts w:ascii="Arial" w:hAnsi="Arial" w:cs="Arial" w:hint="eastAsia"/>
          <w:sz w:val="22"/>
        </w:rPr>
        <w:t>online checks carried out through _____________(enter name of service).</w:t>
      </w:r>
    </w:p>
    <w:p w14:paraId="133E63BD" w14:textId="77777777" w:rsidR="00094A8E" w:rsidRDefault="00094A8E" w:rsidP="0085362C">
      <w:pPr>
        <w:snapToGrid w:val="0"/>
        <w:spacing w:line="280" w:lineRule="atLeast"/>
        <w:jc w:val="both"/>
        <w:rPr>
          <w:rFonts w:ascii="Arial" w:hAnsi="Arial" w:cs="Arial"/>
          <w:sz w:val="22"/>
        </w:rPr>
      </w:pPr>
    </w:p>
    <w:p w14:paraId="5FB7BB67" w14:textId="5EF54D73" w:rsidR="00020DE7" w:rsidRDefault="00020DE7" w:rsidP="0085362C">
      <w:pPr>
        <w:snapToGrid w:val="0"/>
        <w:spacing w:line="280" w:lineRule="atLeast"/>
        <w:jc w:val="both"/>
        <w:rPr>
          <w:rFonts w:ascii="Arial" w:hAnsi="Arial" w:cs="Arial"/>
          <w:sz w:val="22"/>
        </w:rPr>
      </w:pPr>
      <w:r w:rsidRPr="00020DE7">
        <w:rPr>
          <w:rFonts w:ascii="Arial" w:hAnsi="Arial" w:cs="Arial"/>
          <w:sz w:val="22"/>
        </w:rPr>
        <w:t>When carrying out enhanced due diligence (EDD) on individuals, the standard approach should be</w:t>
      </w:r>
      <w:r w:rsidR="00094A8E">
        <w:rPr>
          <w:rFonts w:ascii="Arial" w:hAnsi="Arial" w:cs="Arial"/>
          <w:sz w:val="22"/>
        </w:rPr>
        <w:t xml:space="preserve"> </w:t>
      </w:r>
      <w:r w:rsidRPr="00020DE7">
        <w:rPr>
          <w:rFonts w:ascii="Arial" w:hAnsi="Arial" w:cs="Arial"/>
          <w:sz w:val="22"/>
        </w:rPr>
        <w:t>enhanced with at least one additional piece of evidence of identity.</w:t>
      </w:r>
    </w:p>
    <w:p w14:paraId="03A9167D" w14:textId="77777777" w:rsidR="00094A8E" w:rsidRPr="00020DE7" w:rsidRDefault="00094A8E" w:rsidP="0085362C">
      <w:pPr>
        <w:snapToGrid w:val="0"/>
        <w:spacing w:line="280" w:lineRule="atLeast"/>
        <w:jc w:val="both"/>
        <w:rPr>
          <w:rFonts w:ascii="Arial" w:hAnsi="Arial" w:cs="Arial"/>
          <w:sz w:val="22"/>
        </w:rPr>
      </w:pPr>
    </w:p>
    <w:p w14:paraId="7B3BAE59" w14:textId="4CF3256F" w:rsidR="00020DE7" w:rsidRDefault="00020DE7" w:rsidP="0085362C">
      <w:pPr>
        <w:snapToGrid w:val="0"/>
        <w:spacing w:line="280" w:lineRule="atLeast"/>
        <w:jc w:val="both"/>
        <w:rPr>
          <w:rFonts w:ascii="Arial" w:hAnsi="Arial" w:cs="Arial"/>
          <w:sz w:val="22"/>
        </w:rPr>
      </w:pPr>
      <w:r w:rsidRPr="00020DE7">
        <w:rPr>
          <w:rFonts w:ascii="Arial" w:hAnsi="Arial" w:cs="Arial"/>
          <w:sz w:val="22"/>
        </w:rPr>
        <w:t>For new clients, generally before any activity for the client is undertaken standard CDD requires that staff</w:t>
      </w:r>
      <w:r w:rsidR="00094A8E">
        <w:rPr>
          <w:rFonts w:ascii="Arial" w:hAnsi="Arial" w:cs="Arial"/>
          <w:sz w:val="22"/>
        </w:rPr>
        <w:t xml:space="preserve"> </w:t>
      </w:r>
      <w:r w:rsidRPr="00020DE7">
        <w:rPr>
          <w:rFonts w:ascii="Arial" w:hAnsi="Arial" w:cs="Arial"/>
          <w:sz w:val="22"/>
        </w:rPr>
        <w:t>should check that:</w:t>
      </w:r>
    </w:p>
    <w:p w14:paraId="26EFF675" w14:textId="77777777" w:rsidR="00094A8E" w:rsidRPr="00020DE7" w:rsidRDefault="00094A8E" w:rsidP="0085362C">
      <w:pPr>
        <w:snapToGrid w:val="0"/>
        <w:spacing w:line="280" w:lineRule="atLeast"/>
        <w:jc w:val="both"/>
        <w:rPr>
          <w:rFonts w:ascii="Arial" w:hAnsi="Arial" w:cs="Arial"/>
          <w:sz w:val="22"/>
        </w:rPr>
      </w:pPr>
    </w:p>
    <w:p w14:paraId="3B9C8C3C" w14:textId="4CDCA836" w:rsidR="00020DE7" w:rsidRPr="00A60E32" w:rsidRDefault="00020DE7" w:rsidP="0085362C">
      <w:pPr>
        <w:pStyle w:val="ListParagraph"/>
        <w:numPr>
          <w:ilvl w:val="1"/>
          <w:numId w:val="12"/>
        </w:numPr>
        <w:snapToGrid w:val="0"/>
        <w:spacing w:line="280" w:lineRule="atLeast"/>
        <w:ind w:left="360"/>
        <w:jc w:val="both"/>
        <w:rPr>
          <w:rFonts w:ascii="Arial" w:hAnsi="Arial" w:cs="Arial"/>
          <w:sz w:val="22"/>
        </w:rPr>
      </w:pPr>
      <w:r w:rsidRPr="00A60E32">
        <w:rPr>
          <w:rFonts w:ascii="Arial" w:hAnsi="Arial" w:cs="Arial"/>
          <w:sz w:val="22"/>
        </w:rPr>
        <w:t>A risk assessment has been completed and updated where necessary.</w:t>
      </w:r>
    </w:p>
    <w:p w14:paraId="7FBCB608" w14:textId="38B8A1D9" w:rsidR="00020DE7" w:rsidRPr="00A60E32" w:rsidRDefault="00020DE7" w:rsidP="0085362C">
      <w:pPr>
        <w:pStyle w:val="ListParagraph"/>
        <w:numPr>
          <w:ilvl w:val="1"/>
          <w:numId w:val="12"/>
        </w:numPr>
        <w:snapToGrid w:val="0"/>
        <w:spacing w:line="280" w:lineRule="atLeast"/>
        <w:ind w:left="360"/>
        <w:jc w:val="both"/>
        <w:rPr>
          <w:rFonts w:ascii="Arial" w:hAnsi="Arial" w:cs="Arial"/>
          <w:sz w:val="22"/>
        </w:rPr>
      </w:pPr>
      <w:r w:rsidRPr="00A60E32">
        <w:rPr>
          <w:rFonts w:ascii="Arial" w:hAnsi="Arial" w:cs="Arial"/>
          <w:sz w:val="22"/>
        </w:rPr>
        <w:t>Up-to-date evidence of identification for</w:t>
      </w:r>
      <w:r w:rsidR="00A60E32">
        <w:rPr>
          <w:rFonts w:ascii="Arial" w:hAnsi="Arial" w:cs="Arial"/>
          <w:sz w:val="22"/>
        </w:rPr>
        <w:t xml:space="preserve"> the client has been provided.</w:t>
      </w:r>
    </w:p>
    <w:p w14:paraId="05A041C1" w14:textId="131FBE47" w:rsidR="00020DE7" w:rsidRPr="00A60E32" w:rsidRDefault="00020DE7" w:rsidP="0085362C">
      <w:pPr>
        <w:pStyle w:val="ListParagraph"/>
        <w:numPr>
          <w:ilvl w:val="1"/>
          <w:numId w:val="12"/>
        </w:numPr>
        <w:snapToGrid w:val="0"/>
        <w:spacing w:line="280" w:lineRule="atLeast"/>
        <w:ind w:left="360"/>
        <w:jc w:val="both"/>
        <w:rPr>
          <w:rFonts w:ascii="Arial" w:hAnsi="Arial" w:cs="Arial"/>
          <w:sz w:val="22"/>
        </w:rPr>
      </w:pPr>
      <w:r w:rsidRPr="00A60E32">
        <w:rPr>
          <w:rFonts w:ascii="Arial" w:hAnsi="Arial" w:cs="Arial"/>
          <w:sz w:val="22"/>
        </w:rPr>
        <w:t>An up-to-date list of principals (directors, partners, trustees, etc.) has been provided.</w:t>
      </w:r>
    </w:p>
    <w:p w14:paraId="5E1CDC03" w14:textId="00AB5632" w:rsidR="00020DE7" w:rsidRPr="00A60E32" w:rsidRDefault="00020DE7" w:rsidP="0085362C">
      <w:pPr>
        <w:pStyle w:val="ListParagraph"/>
        <w:numPr>
          <w:ilvl w:val="1"/>
          <w:numId w:val="12"/>
        </w:numPr>
        <w:snapToGrid w:val="0"/>
        <w:spacing w:line="280" w:lineRule="atLeast"/>
        <w:ind w:left="360"/>
        <w:jc w:val="both"/>
        <w:rPr>
          <w:rFonts w:ascii="Arial" w:hAnsi="Arial" w:cs="Arial"/>
          <w:sz w:val="22"/>
        </w:rPr>
      </w:pPr>
      <w:r w:rsidRPr="00A60E32">
        <w:rPr>
          <w:rFonts w:ascii="Arial" w:hAnsi="Arial" w:cs="Arial"/>
          <w:sz w:val="22"/>
        </w:rPr>
        <w:t>Depending on the risk assessment in ‘1’, the file contains adequate information to satisfy us on the</w:t>
      </w:r>
      <w:r w:rsidR="00094A8E" w:rsidRPr="00A60E32">
        <w:rPr>
          <w:rFonts w:ascii="Arial" w:hAnsi="Arial" w:cs="Arial"/>
          <w:sz w:val="22"/>
        </w:rPr>
        <w:t xml:space="preserve"> </w:t>
      </w:r>
      <w:r w:rsidRPr="00A60E32">
        <w:rPr>
          <w:rFonts w:ascii="Arial" w:hAnsi="Arial" w:cs="Arial"/>
          <w:sz w:val="22"/>
        </w:rPr>
        <w:t>identity of the principals</w:t>
      </w:r>
      <w:r w:rsidR="00760BFD" w:rsidRPr="00A60E32">
        <w:rPr>
          <w:rFonts w:ascii="Arial" w:hAnsi="Arial" w:cs="Arial"/>
          <w:sz w:val="22"/>
        </w:rPr>
        <w:t>.</w:t>
      </w:r>
    </w:p>
    <w:p w14:paraId="422AB40F" w14:textId="08B19813" w:rsidR="00020DE7" w:rsidRPr="00A60E32" w:rsidRDefault="00020DE7" w:rsidP="0085362C">
      <w:pPr>
        <w:pStyle w:val="ListParagraph"/>
        <w:numPr>
          <w:ilvl w:val="1"/>
          <w:numId w:val="12"/>
        </w:numPr>
        <w:snapToGrid w:val="0"/>
        <w:spacing w:line="280" w:lineRule="atLeast"/>
        <w:ind w:left="360"/>
        <w:jc w:val="both"/>
        <w:rPr>
          <w:rFonts w:ascii="Arial" w:hAnsi="Arial" w:cs="Arial"/>
          <w:sz w:val="22"/>
        </w:rPr>
      </w:pPr>
      <w:r w:rsidRPr="00A60E32">
        <w:rPr>
          <w:rFonts w:ascii="Arial" w:hAnsi="Arial" w:cs="Arial"/>
          <w:sz w:val="22"/>
        </w:rPr>
        <w:lastRenderedPageBreak/>
        <w:t>Where the client has beneficial owners, the details of all beneficial owners are fully recorded and up to</w:t>
      </w:r>
      <w:r w:rsidR="00094A8E" w:rsidRPr="00A60E32">
        <w:rPr>
          <w:rFonts w:ascii="Arial" w:hAnsi="Arial" w:cs="Arial"/>
          <w:sz w:val="22"/>
        </w:rPr>
        <w:t xml:space="preserve"> </w:t>
      </w:r>
      <w:r w:rsidRPr="00A60E32">
        <w:rPr>
          <w:rFonts w:ascii="Arial" w:hAnsi="Arial" w:cs="Arial"/>
          <w:sz w:val="22"/>
        </w:rPr>
        <w:t>date.</w:t>
      </w:r>
    </w:p>
    <w:p w14:paraId="1AA5FDAB" w14:textId="552F8449" w:rsidR="00020DE7" w:rsidRPr="00A60E32" w:rsidRDefault="00020DE7" w:rsidP="0085362C">
      <w:pPr>
        <w:pStyle w:val="ListParagraph"/>
        <w:numPr>
          <w:ilvl w:val="1"/>
          <w:numId w:val="12"/>
        </w:numPr>
        <w:snapToGrid w:val="0"/>
        <w:spacing w:line="280" w:lineRule="atLeast"/>
        <w:ind w:left="360"/>
        <w:jc w:val="both"/>
        <w:rPr>
          <w:rFonts w:ascii="Arial" w:hAnsi="Arial" w:cs="Arial"/>
          <w:sz w:val="22"/>
        </w:rPr>
      </w:pPr>
      <w:r w:rsidRPr="00A60E32">
        <w:rPr>
          <w:rFonts w:ascii="Arial" w:hAnsi="Arial" w:cs="Arial"/>
          <w:sz w:val="22"/>
        </w:rPr>
        <w:t>Depending on the risk assessment in ‘1’, the file contains adequate information to satisfy us that we</w:t>
      </w:r>
      <w:r w:rsidR="00094A8E" w:rsidRPr="00A60E32">
        <w:rPr>
          <w:rFonts w:ascii="Arial" w:hAnsi="Arial" w:cs="Arial"/>
          <w:sz w:val="22"/>
        </w:rPr>
        <w:t xml:space="preserve"> </w:t>
      </w:r>
      <w:r w:rsidRPr="00A60E32">
        <w:rPr>
          <w:rFonts w:ascii="Arial" w:hAnsi="Arial" w:cs="Arial"/>
          <w:sz w:val="22"/>
        </w:rPr>
        <w:t>know who any beneficial owners are.</w:t>
      </w:r>
    </w:p>
    <w:p w14:paraId="6D0139E6" w14:textId="231B4740" w:rsidR="00020DE7" w:rsidRPr="00A60E32" w:rsidRDefault="00020DE7" w:rsidP="0085362C">
      <w:pPr>
        <w:pStyle w:val="ListParagraph"/>
        <w:numPr>
          <w:ilvl w:val="1"/>
          <w:numId w:val="12"/>
        </w:numPr>
        <w:snapToGrid w:val="0"/>
        <w:spacing w:line="280" w:lineRule="atLeast"/>
        <w:ind w:left="360"/>
        <w:jc w:val="both"/>
        <w:rPr>
          <w:rFonts w:ascii="Arial" w:hAnsi="Arial" w:cs="Arial"/>
          <w:sz w:val="22"/>
        </w:rPr>
      </w:pPr>
      <w:r w:rsidRPr="00A60E32">
        <w:rPr>
          <w:rFonts w:ascii="Arial" w:hAnsi="Arial" w:cs="Arial"/>
          <w:sz w:val="22"/>
        </w:rPr>
        <w:t>Know-your-client forms exist and are up to date.</w:t>
      </w:r>
    </w:p>
    <w:p w14:paraId="63170FE8" w14:textId="64DBB3D4" w:rsidR="00020DE7" w:rsidRPr="00A60E32" w:rsidRDefault="00020DE7" w:rsidP="0085362C">
      <w:pPr>
        <w:pStyle w:val="ListParagraph"/>
        <w:numPr>
          <w:ilvl w:val="1"/>
          <w:numId w:val="12"/>
        </w:numPr>
        <w:snapToGrid w:val="0"/>
        <w:spacing w:line="280" w:lineRule="atLeast"/>
        <w:ind w:left="360"/>
        <w:jc w:val="both"/>
        <w:rPr>
          <w:rFonts w:ascii="Arial" w:hAnsi="Arial" w:cs="Arial"/>
          <w:sz w:val="22"/>
        </w:rPr>
      </w:pPr>
      <w:r w:rsidRPr="00A60E32">
        <w:rPr>
          <w:rFonts w:ascii="Arial" w:hAnsi="Arial" w:cs="Arial"/>
          <w:sz w:val="22"/>
        </w:rPr>
        <w:t>The client’s risk assessment in ‘1’ remains up to date and appropriate.</w:t>
      </w:r>
    </w:p>
    <w:p w14:paraId="0E75FBD7" w14:textId="77777777" w:rsidR="00094A8E" w:rsidRPr="00020DE7" w:rsidRDefault="00094A8E" w:rsidP="0085362C">
      <w:pPr>
        <w:snapToGrid w:val="0"/>
        <w:spacing w:line="280" w:lineRule="atLeast"/>
        <w:jc w:val="both"/>
        <w:rPr>
          <w:rFonts w:ascii="Arial" w:hAnsi="Arial" w:cs="Arial"/>
          <w:sz w:val="22"/>
        </w:rPr>
      </w:pPr>
    </w:p>
    <w:p w14:paraId="18A5E14E" w14:textId="75E3B2DE" w:rsidR="00E310DF" w:rsidRDefault="00020DE7" w:rsidP="0085362C">
      <w:pPr>
        <w:snapToGrid w:val="0"/>
        <w:spacing w:line="280" w:lineRule="atLeast"/>
        <w:jc w:val="both"/>
        <w:rPr>
          <w:rFonts w:ascii="Arial" w:hAnsi="Arial" w:cs="Arial"/>
          <w:sz w:val="22"/>
        </w:rPr>
      </w:pPr>
      <w:r w:rsidRPr="00020DE7">
        <w:rPr>
          <w:rFonts w:ascii="Arial" w:hAnsi="Arial" w:cs="Arial"/>
          <w:sz w:val="22"/>
        </w:rPr>
        <w:t>For pre-existing clients (i.e., those with which/whom the practice established a business relationship before 1</w:t>
      </w:r>
      <w:r w:rsidR="00094A8E">
        <w:rPr>
          <w:rFonts w:ascii="Arial" w:hAnsi="Arial" w:cs="Arial"/>
          <w:sz w:val="22"/>
        </w:rPr>
        <w:t xml:space="preserve"> </w:t>
      </w:r>
      <w:r w:rsidRPr="00020DE7">
        <w:rPr>
          <w:rFonts w:ascii="Arial" w:hAnsi="Arial" w:cs="Arial"/>
          <w:sz w:val="22"/>
        </w:rPr>
        <w:t>March 2018) CDD measures should be performed when:</w:t>
      </w:r>
    </w:p>
    <w:p w14:paraId="3B51D394" w14:textId="77777777" w:rsidR="00760BFD" w:rsidRPr="00020DE7" w:rsidRDefault="00760BFD" w:rsidP="0085362C">
      <w:pPr>
        <w:snapToGrid w:val="0"/>
        <w:spacing w:line="280" w:lineRule="atLeast"/>
        <w:jc w:val="both"/>
        <w:rPr>
          <w:rFonts w:ascii="Arial" w:hAnsi="Arial" w:cs="Arial"/>
          <w:sz w:val="22"/>
        </w:rPr>
      </w:pPr>
    </w:p>
    <w:p w14:paraId="1136A26D" w14:textId="32C017D4" w:rsidR="00020DE7" w:rsidRPr="00A60E32" w:rsidRDefault="00020DE7" w:rsidP="0085362C">
      <w:pPr>
        <w:pStyle w:val="ListParagraph"/>
        <w:numPr>
          <w:ilvl w:val="0"/>
          <w:numId w:val="13"/>
        </w:numPr>
        <w:snapToGrid w:val="0"/>
        <w:spacing w:line="280" w:lineRule="atLeast"/>
        <w:ind w:left="360"/>
        <w:jc w:val="both"/>
        <w:rPr>
          <w:rFonts w:ascii="Arial" w:hAnsi="Arial" w:cs="Arial"/>
          <w:sz w:val="22"/>
        </w:rPr>
      </w:pPr>
      <w:r w:rsidRPr="00A60E32">
        <w:rPr>
          <w:rFonts w:ascii="Arial" w:hAnsi="Arial" w:cs="Arial"/>
          <w:sz w:val="22"/>
        </w:rPr>
        <w:t>a transaction takes place with regard to the client that is unusual or suspicious by virtue of its nature or</w:t>
      </w:r>
      <w:r w:rsidR="00094A8E" w:rsidRPr="00A60E32">
        <w:rPr>
          <w:rFonts w:ascii="Arial" w:hAnsi="Arial" w:cs="Arial"/>
          <w:sz w:val="22"/>
        </w:rPr>
        <w:t xml:space="preserve"> </w:t>
      </w:r>
      <w:r w:rsidRPr="00A60E32">
        <w:rPr>
          <w:rFonts w:ascii="Arial" w:hAnsi="Arial" w:cs="Arial"/>
          <w:sz w:val="22"/>
        </w:rPr>
        <w:t>size, or which is otherwise not consistent with the practice's understanding of the client’s business</w:t>
      </w:r>
    </w:p>
    <w:p w14:paraId="7801EC5D" w14:textId="5F7FD976" w:rsidR="00020DE7" w:rsidRPr="00A60E32" w:rsidRDefault="00020DE7" w:rsidP="0085362C">
      <w:pPr>
        <w:pStyle w:val="ListParagraph"/>
        <w:numPr>
          <w:ilvl w:val="0"/>
          <w:numId w:val="13"/>
        </w:numPr>
        <w:snapToGrid w:val="0"/>
        <w:spacing w:line="280" w:lineRule="atLeast"/>
        <w:ind w:left="360"/>
        <w:jc w:val="both"/>
        <w:rPr>
          <w:rFonts w:ascii="Arial" w:hAnsi="Arial" w:cs="Arial"/>
          <w:sz w:val="22"/>
        </w:rPr>
      </w:pPr>
      <w:r w:rsidRPr="00A60E32">
        <w:rPr>
          <w:rFonts w:ascii="Arial" w:hAnsi="Arial" w:cs="Arial"/>
          <w:sz w:val="22"/>
        </w:rPr>
        <w:t>there is a material change in the way in which the client’s business is conducted</w:t>
      </w:r>
    </w:p>
    <w:p w14:paraId="4D431BEE" w14:textId="1E25C2F2" w:rsidR="00020DE7" w:rsidRPr="00A60E32" w:rsidRDefault="00020DE7" w:rsidP="0085362C">
      <w:pPr>
        <w:pStyle w:val="ListParagraph"/>
        <w:numPr>
          <w:ilvl w:val="0"/>
          <w:numId w:val="13"/>
        </w:numPr>
        <w:snapToGrid w:val="0"/>
        <w:spacing w:line="280" w:lineRule="atLeast"/>
        <w:ind w:left="360"/>
        <w:jc w:val="both"/>
        <w:rPr>
          <w:rFonts w:ascii="Arial" w:hAnsi="Arial" w:cs="Arial"/>
          <w:sz w:val="22"/>
        </w:rPr>
      </w:pPr>
      <w:r w:rsidRPr="00A60E32">
        <w:rPr>
          <w:rFonts w:ascii="Arial" w:hAnsi="Arial" w:cs="Arial"/>
          <w:sz w:val="22"/>
        </w:rPr>
        <w:t>there is doubt about the veracity or adequacy of information previously obtained for the purposes of</w:t>
      </w:r>
      <w:r w:rsidR="00094A8E" w:rsidRPr="00A60E32">
        <w:rPr>
          <w:rFonts w:ascii="Arial" w:hAnsi="Arial" w:cs="Arial"/>
          <w:sz w:val="22"/>
        </w:rPr>
        <w:t xml:space="preserve"> </w:t>
      </w:r>
      <w:r w:rsidRPr="00A60E32">
        <w:rPr>
          <w:rFonts w:ascii="Arial" w:hAnsi="Arial" w:cs="Arial"/>
          <w:sz w:val="22"/>
        </w:rPr>
        <w:t>identifying or verifying the identity of the client, or there is a suspicion that the client may be involved</w:t>
      </w:r>
      <w:r w:rsidR="00094A8E" w:rsidRPr="00A60E32">
        <w:rPr>
          <w:rFonts w:ascii="Arial" w:hAnsi="Arial" w:cs="Arial"/>
          <w:sz w:val="22"/>
        </w:rPr>
        <w:t xml:space="preserve"> </w:t>
      </w:r>
      <w:r w:rsidRPr="00A60E32">
        <w:rPr>
          <w:rFonts w:ascii="Arial" w:hAnsi="Arial" w:cs="Arial"/>
          <w:sz w:val="22"/>
        </w:rPr>
        <w:t>in money laundering or terrorist financing.</w:t>
      </w:r>
    </w:p>
    <w:p w14:paraId="524B4EB5" w14:textId="77777777" w:rsidR="00094A8E" w:rsidRDefault="00094A8E" w:rsidP="0085362C">
      <w:pPr>
        <w:snapToGrid w:val="0"/>
        <w:spacing w:line="280" w:lineRule="atLeast"/>
        <w:jc w:val="both"/>
        <w:rPr>
          <w:rFonts w:ascii="Arial" w:hAnsi="Arial" w:cs="Arial"/>
          <w:sz w:val="22"/>
        </w:rPr>
      </w:pPr>
    </w:p>
    <w:p w14:paraId="37FBB732" w14:textId="4D7E247C" w:rsidR="00020DE7" w:rsidRDefault="00020DE7" w:rsidP="0085362C">
      <w:pPr>
        <w:snapToGrid w:val="0"/>
        <w:spacing w:line="280" w:lineRule="atLeast"/>
        <w:jc w:val="both"/>
        <w:rPr>
          <w:rFonts w:ascii="Arial" w:hAnsi="Arial" w:cs="Arial"/>
          <w:sz w:val="22"/>
        </w:rPr>
      </w:pPr>
      <w:r w:rsidRPr="00020DE7">
        <w:rPr>
          <w:rFonts w:ascii="Arial" w:hAnsi="Arial" w:cs="Arial"/>
          <w:sz w:val="22"/>
        </w:rPr>
        <w:t>As part of the practice’s CDD procedures, consideration must be given to establishing whether the client is a</w:t>
      </w:r>
      <w:r w:rsidR="00094A8E">
        <w:rPr>
          <w:rFonts w:ascii="Arial" w:hAnsi="Arial" w:cs="Arial"/>
          <w:sz w:val="22"/>
        </w:rPr>
        <w:t xml:space="preserve"> </w:t>
      </w:r>
      <w:r w:rsidRPr="00020DE7">
        <w:rPr>
          <w:rFonts w:ascii="Arial" w:hAnsi="Arial" w:cs="Arial"/>
          <w:sz w:val="22"/>
        </w:rPr>
        <w:t>politically exposed person (PEP) (including whether they are a domestic PEP), or a family member or close</w:t>
      </w:r>
      <w:r w:rsidR="00094A8E">
        <w:rPr>
          <w:rFonts w:ascii="Arial" w:hAnsi="Arial" w:cs="Arial"/>
          <w:sz w:val="22"/>
        </w:rPr>
        <w:t xml:space="preserve"> </w:t>
      </w:r>
      <w:r w:rsidRPr="00020DE7">
        <w:rPr>
          <w:rFonts w:ascii="Arial" w:hAnsi="Arial" w:cs="Arial"/>
          <w:sz w:val="22"/>
        </w:rPr>
        <w:t>associate of a PEP or is included on a sanctions list.</w:t>
      </w:r>
    </w:p>
    <w:p w14:paraId="7B4A8EB9" w14:textId="77777777" w:rsidR="00094A8E" w:rsidRPr="00020DE7" w:rsidRDefault="00094A8E" w:rsidP="0085362C">
      <w:pPr>
        <w:snapToGrid w:val="0"/>
        <w:spacing w:line="280" w:lineRule="atLeast"/>
        <w:jc w:val="both"/>
        <w:rPr>
          <w:rFonts w:ascii="Arial" w:hAnsi="Arial" w:cs="Arial"/>
          <w:sz w:val="22"/>
        </w:rPr>
      </w:pPr>
    </w:p>
    <w:p w14:paraId="2099A1E8" w14:textId="1FB1009F" w:rsidR="00020DE7" w:rsidRDefault="00020DE7" w:rsidP="0085362C">
      <w:pPr>
        <w:snapToGrid w:val="0"/>
        <w:spacing w:line="280" w:lineRule="atLeast"/>
        <w:jc w:val="both"/>
        <w:rPr>
          <w:rFonts w:ascii="Arial" w:hAnsi="Arial" w:cs="Arial"/>
          <w:sz w:val="22"/>
        </w:rPr>
      </w:pPr>
      <w:r w:rsidRPr="00020DE7">
        <w:rPr>
          <w:rFonts w:ascii="Arial" w:hAnsi="Arial" w:cs="Arial"/>
          <w:sz w:val="22"/>
        </w:rPr>
        <w:t>Where a client or beneficial owner is known or subsequently found to be a foreign PEP or is otherwise</w:t>
      </w:r>
      <w:r w:rsidR="00094A8E">
        <w:rPr>
          <w:rFonts w:ascii="Arial" w:hAnsi="Arial" w:cs="Arial"/>
          <w:sz w:val="22"/>
        </w:rPr>
        <w:t xml:space="preserve"> </w:t>
      </w:r>
      <w:r w:rsidRPr="00020DE7">
        <w:rPr>
          <w:rFonts w:ascii="Arial" w:hAnsi="Arial" w:cs="Arial"/>
          <w:sz w:val="22"/>
        </w:rPr>
        <w:t>assessed as being high risk and EDD applied the approval of senior management should be obtained for</w:t>
      </w:r>
      <w:r w:rsidR="00094A8E">
        <w:rPr>
          <w:rFonts w:ascii="Arial" w:hAnsi="Arial" w:cs="Arial"/>
          <w:sz w:val="22"/>
        </w:rPr>
        <w:t xml:space="preserve"> </w:t>
      </w:r>
      <w:r w:rsidRPr="00020DE7">
        <w:rPr>
          <w:rFonts w:ascii="Arial" w:hAnsi="Arial" w:cs="Arial"/>
          <w:sz w:val="22"/>
        </w:rPr>
        <w:t>establishing or continuing a business relationship.</w:t>
      </w:r>
    </w:p>
    <w:p w14:paraId="64719074" w14:textId="77777777" w:rsidR="00094A8E" w:rsidRPr="00020DE7" w:rsidRDefault="00094A8E" w:rsidP="0085362C">
      <w:pPr>
        <w:snapToGrid w:val="0"/>
        <w:spacing w:line="280" w:lineRule="atLeast"/>
        <w:jc w:val="both"/>
        <w:rPr>
          <w:rFonts w:ascii="Arial" w:hAnsi="Arial" w:cs="Arial"/>
          <w:sz w:val="22"/>
        </w:rPr>
      </w:pPr>
    </w:p>
    <w:p w14:paraId="48E0620B" w14:textId="0DEC6C36" w:rsidR="00020DE7" w:rsidRDefault="00020DE7" w:rsidP="0085362C">
      <w:pPr>
        <w:snapToGrid w:val="0"/>
        <w:spacing w:line="280" w:lineRule="atLeast"/>
        <w:jc w:val="both"/>
        <w:rPr>
          <w:rFonts w:ascii="Arial" w:hAnsi="Arial" w:cs="Arial"/>
          <w:sz w:val="22"/>
        </w:rPr>
      </w:pPr>
      <w:r w:rsidRPr="00020DE7">
        <w:rPr>
          <w:rFonts w:ascii="Arial" w:hAnsi="Arial" w:cs="Arial"/>
          <w:sz w:val="22"/>
        </w:rPr>
        <w:t>Because of the increased risk involved the practice will not seek to rely on CDD evidence obtained by others.</w:t>
      </w:r>
      <w:r w:rsidR="00094A8E">
        <w:rPr>
          <w:rFonts w:ascii="Arial" w:hAnsi="Arial" w:cs="Arial"/>
          <w:sz w:val="22"/>
        </w:rPr>
        <w:t xml:space="preserve"> </w:t>
      </w:r>
      <w:r w:rsidRPr="00020DE7">
        <w:rPr>
          <w:rFonts w:ascii="Arial" w:hAnsi="Arial" w:cs="Arial"/>
          <w:sz w:val="22"/>
        </w:rPr>
        <w:t>Instead, where we are acting for a mutual client who has already provided adequate CDD to a financial or</w:t>
      </w:r>
      <w:r w:rsidR="00094A8E">
        <w:rPr>
          <w:rFonts w:ascii="Arial" w:hAnsi="Arial" w:cs="Arial"/>
          <w:sz w:val="22"/>
        </w:rPr>
        <w:t xml:space="preserve"> </w:t>
      </w:r>
      <w:r w:rsidRPr="00020DE7">
        <w:rPr>
          <w:rFonts w:ascii="Arial" w:hAnsi="Arial" w:cs="Arial"/>
          <w:sz w:val="22"/>
        </w:rPr>
        <w:t>credit institution, practice of accountants or a lawyer, we should seek certified copies of that information in an</w:t>
      </w:r>
      <w:r w:rsidR="00A60E32">
        <w:rPr>
          <w:rFonts w:ascii="Arial" w:hAnsi="Arial" w:cs="Arial"/>
          <w:sz w:val="22"/>
        </w:rPr>
        <w:t xml:space="preserve"> </w:t>
      </w:r>
      <w:r w:rsidRPr="00020DE7">
        <w:rPr>
          <w:rFonts w:ascii="Arial" w:hAnsi="Arial" w:cs="Arial"/>
          <w:sz w:val="22"/>
        </w:rPr>
        <w:t>attempt to avoid requiring the client to produce identification evidence again.</w:t>
      </w:r>
    </w:p>
    <w:p w14:paraId="0403047F" w14:textId="77777777" w:rsidR="00094A8E" w:rsidRPr="00020DE7" w:rsidRDefault="00094A8E" w:rsidP="0085362C">
      <w:pPr>
        <w:snapToGrid w:val="0"/>
        <w:spacing w:line="280" w:lineRule="atLeast"/>
        <w:jc w:val="both"/>
        <w:rPr>
          <w:rFonts w:ascii="Arial" w:hAnsi="Arial" w:cs="Arial"/>
          <w:sz w:val="22"/>
        </w:rPr>
      </w:pPr>
    </w:p>
    <w:p w14:paraId="165BC6B3" w14:textId="59BEF798" w:rsidR="00020DE7" w:rsidRPr="00020DE7" w:rsidRDefault="00020DE7" w:rsidP="0085362C">
      <w:pPr>
        <w:snapToGrid w:val="0"/>
        <w:spacing w:line="280" w:lineRule="atLeast"/>
        <w:jc w:val="both"/>
        <w:rPr>
          <w:rFonts w:ascii="Arial" w:hAnsi="Arial" w:cs="Arial"/>
          <w:sz w:val="22"/>
        </w:rPr>
      </w:pPr>
      <w:r w:rsidRPr="00020DE7">
        <w:rPr>
          <w:rFonts w:ascii="Arial" w:hAnsi="Arial" w:cs="Arial"/>
          <w:sz w:val="22"/>
        </w:rPr>
        <w:t>Similarly, we will caution other practices not to rely just on our CDD information. However, if we are acting for</w:t>
      </w:r>
      <w:r w:rsidR="00094A8E">
        <w:rPr>
          <w:rFonts w:ascii="Arial" w:hAnsi="Arial" w:cs="Arial"/>
          <w:sz w:val="22"/>
        </w:rPr>
        <w:t xml:space="preserve"> </w:t>
      </w:r>
      <w:r w:rsidRPr="00020DE7">
        <w:rPr>
          <w:rFonts w:ascii="Arial" w:hAnsi="Arial" w:cs="Arial"/>
          <w:sz w:val="22"/>
        </w:rPr>
        <w:t>a mutual client we will normally provide the other practice with certified copies should they ask for them.</w:t>
      </w:r>
    </w:p>
    <w:p w14:paraId="22792D91" w14:textId="45DD51A7" w:rsidR="00094A8E" w:rsidRDefault="00094A8E" w:rsidP="0085362C">
      <w:pPr>
        <w:snapToGrid w:val="0"/>
        <w:spacing w:line="280" w:lineRule="atLeast"/>
        <w:jc w:val="both"/>
        <w:rPr>
          <w:rFonts w:ascii="Arial" w:hAnsi="Arial" w:cs="Arial"/>
          <w:sz w:val="22"/>
        </w:rPr>
      </w:pPr>
    </w:p>
    <w:p w14:paraId="59E27EEB" w14:textId="2D34A1F4" w:rsidR="00020DE7" w:rsidRPr="00A60E32" w:rsidRDefault="00020DE7" w:rsidP="0085362C">
      <w:pPr>
        <w:pStyle w:val="ListParagraph"/>
        <w:numPr>
          <w:ilvl w:val="0"/>
          <w:numId w:val="10"/>
        </w:numPr>
        <w:snapToGrid w:val="0"/>
        <w:spacing w:line="280" w:lineRule="atLeast"/>
        <w:ind w:left="360"/>
        <w:jc w:val="both"/>
        <w:rPr>
          <w:rFonts w:ascii="Arial" w:hAnsi="Arial" w:cs="Arial"/>
          <w:b/>
          <w:i/>
        </w:rPr>
      </w:pPr>
      <w:r w:rsidRPr="00A60E32">
        <w:rPr>
          <w:rFonts w:ascii="Arial" w:hAnsi="Arial" w:cs="Arial"/>
          <w:b/>
          <w:i/>
        </w:rPr>
        <w:t>Ongoing monitoring</w:t>
      </w:r>
      <w:r w:rsidR="000A6B2F">
        <w:rPr>
          <w:rFonts w:ascii="Arial" w:hAnsi="Arial" w:cs="Arial"/>
          <w:b/>
          <w:i/>
        </w:rPr>
        <w:t xml:space="preserve"> (where applicable)</w:t>
      </w:r>
    </w:p>
    <w:p w14:paraId="447AF3FF" w14:textId="77777777" w:rsidR="00E310DF" w:rsidRPr="00094A8E" w:rsidRDefault="00E310DF" w:rsidP="0085362C">
      <w:pPr>
        <w:snapToGrid w:val="0"/>
        <w:spacing w:line="280" w:lineRule="atLeast"/>
        <w:jc w:val="both"/>
        <w:rPr>
          <w:rFonts w:ascii="Arial" w:hAnsi="Arial" w:cs="Arial"/>
          <w:b/>
          <w:i/>
        </w:rPr>
      </w:pPr>
    </w:p>
    <w:p w14:paraId="4EC5A369" w14:textId="29B491D6" w:rsidR="00B62D70" w:rsidRPr="00B62D70" w:rsidRDefault="000A6B2F" w:rsidP="0085362C">
      <w:pPr>
        <w:snapToGrid w:val="0"/>
        <w:spacing w:line="280" w:lineRule="atLeast"/>
        <w:jc w:val="both"/>
        <w:rPr>
          <w:rFonts w:ascii="Arial" w:hAnsi="Arial" w:cs="Arial"/>
          <w:sz w:val="22"/>
          <w:lang w:eastAsia="zh-HK"/>
        </w:rPr>
      </w:pPr>
      <w:r>
        <w:rPr>
          <w:rFonts w:ascii="Arial" w:hAnsi="Arial" w:cs="Arial"/>
          <w:sz w:val="22"/>
          <w:lang w:eastAsia="zh-HK"/>
        </w:rPr>
        <w:t>Where applicable, we will</w:t>
      </w:r>
      <w:r w:rsidR="00B62D70" w:rsidRPr="00B62D70">
        <w:rPr>
          <w:rFonts w:ascii="Arial" w:hAnsi="Arial" w:cs="Arial"/>
          <w:sz w:val="22"/>
          <w:lang w:eastAsia="zh-HK"/>
        </w:rPr>
        <w:t xml:space="preserve"> maintain appropriate ongoing monitoring of all client transactions to prevent activities related to money laundering and terrorist financing. This applies even where the client qualifies for simplified customer due diligence (SDD) measures and pre-existing clients.</w:t>
      </w:r>
    </w:p>
    <w:p w14:paraId="0F1AD05A" w14:textId="77777777" w:rsidR="00B62D70" w:rsidRPr="000E380C" w:rsidRDefault="00B62D70" w:rsidP="0085362C">
      <w:pPr>
        <w:snapToGrid w:val="0"/>
        <w:spacing w:line="280" w:lineRule="atLeast"/>
        <w:jc w:val="both"/>
        <w:rPr>
          <w:rFonts w:ascii="Arial" w:hAnsi="Arial" w:cs="Arial"/>
          <w:i/>
          <w:sz w:val="22"/>
          <w:lang w:eastAsia="zh-HK"/>
        </w:rPr>
      </w:pPr>
    </w:p>
    <w:p w14:paraId="12B7D1EF" w14:textId="58C93A5A" w:rsidR="00B62D70" w:rsidRPr="00B62D70" w:rsidRDefault="00B62D70" w:rsidP="0085362C">
      <w:pPr>
        <w:snapToGrid w:val="0"/>
        <w:spacing w:line="280" w:lineRule="atLeast"/>
        <w:jc w:val="both"/>
        <w:rPr>
          <w:rFonts w:ascii="Arial" w:hAnsi="Arial" w:cs="Arial"/>
          <w:sz w:val="22"/>
          <w:lang w:eastAsia="zh-HK"/>
        </w:rPr>
      </w:pPr>
      <w:r w:rsidRPr="00B62D70">
        <w:rPr>
          <w:rFonts w:ascii="Arial" w:hAnsi="Arial" w:cs="Arial"/>
          <w:sz w:val="22"/>
          <w:lang w:eastAsia="zh-HK"/>
        </w:rPr>
        <w:t>In future years, st</w:t>
      </w:r>
      <w:r w:rsidR="00D52034">
        <w:rPr>
          <w:rFonts w:ascii="Arial" w:hAnsi="Arial" w:cs="Arial"/>
          <w:sz w:val="22"/>
          <w:lang w:eastAsia="zh-HK"/>
        </w:rPr>
        <w:t>eps 1 to 8 in the CDD above</w:t>
      </w:r>
      <w:r w:rsidRPr="00B62D70">
        <w:rPr>
          <w:rFonts w:ascii="Arial" w:hAnsi="Arial" w:cs="Arial"/>
          <w:sz w:val="22"/>
          <w:lang w:eastAsia="zh-HK"/>
        </w:rPr>
        <w:t xml:space="preserve"> </w:t>
      </w:r>
      <w:r w:rsidR="000A6B2F">
        <w:rPr>
          <w:rFonts w:ascii="Arial" w:hAnsi="Arial" w:cs="Arial"/>
          <w:sz w:val="22"/>
          <w:lang w:eastAsia="zh-HK"/>
        </w:rPr>
        <w:t>will</w:t>
      </w:r>
      <w:r w:rsidRPr="00B62D70">
        <w:rPr>
          <w:rFonts w:ascii="Arial" w:hAnsi="Arial" w:cs="Arial"/>
          <w:sz w:val="22"/>
          <w:lang w:eastAsia="zh-HK"/>
        </w:rPr>
        <w:t xml:space="preserve"> be followed to ensure the information held on clients, beneficial owners, etc. is still appropriate and up to date. This review </w:t>
      </w:r>
      <w:r w:rsidR="000A6B2F">
        <w:rPr>
          <w:rFonts w:ascii="Arial" w:hAnsi="Arial" w:cs="Arial"/>
          <w:sz w:val="22"/>
          <w:lang w:eastAsia="zh-HK"/>
        </w:rPr>
        <w:t>will</w:t>
      </w:r>
      <w:r w:rsidRPr="00B62D70">
        <w:rPr>
          <w:rFonts w:ascii="Arial" w:hAnsi="Arial" w:cs="Arial"/>
          <w:sz w:val="22"/>
          <w:lang w:eastAsia="zh-HK"/>
        </w:rPr>
        <w:t xml:space="preserve"> be recorded on the relevant sections of the </w:t>
      </w:r>
      <w:r w:rsidR="00903F3C">
        <w:rPr>
          <w:rFonts w:ascii="Arial" w:hAnsi="Arial" w:cs="Arial"/>
          <w:sz w:val="22"/>
          <w:lang w:eastAsia="zh-HK"/>
        </w:rPr>
        <w:t>“</w:t>
      </w:r>
      <w:r w:rsidRPr="00B62D70">
        <w:rPr>
          <w:rFonts w:ascii="Arial" w:hAnsi="Arial" w:cs="Arial"/>
          <w:sz w:val="22"/>
          <w:lang w:eastAsia="zh-HK"/>
        </w:rPr>
        <w:t>Know your client</w:t>
      </w:r>
      <w:r w:rsidR="00903F3C">
        <w:rPr>
          <w:rFonts w:ascii="Arial" w:hAnsi="Arial" w:cs="Arial"/>
          <w:sz w:val="22"/>
          <w:lang w:eastAsia="zh-HK"/>
        </w:rPr>
        <w:t>”</w:t>
      </w:r>
      <w:r w:rsidRPr="00B62D70">
        <w:rPr>
          <w:rFonts w:ascii="Arial" w:hAnsi="Arial" w:cs="Arial"/>
          <w:sz w:val="22"/>
          <w:lang w:eastAsia="zh-HK"/>
        </w:rPr>
        <w:t xml:space="preserve"> and risk assessment forms. [T05 to T07 in this manual]. </w:t>
      </w:r>
    </w:p>
    <w:p w14:paraId="30FD6B02" w14:textId="1F27D588" w:rsidR="00B62D70" w:rsidRPr="0085362C" w:rsidRDefault="00B62D70" w:rsidP="0085362C">
      <w:pPr>
        <w:snapToGrid w:val="0"/>
        <w:spacing w:line="280" w:lineRule="atLeast"/>
        <w:jc w:val="both"/>
        <w:rPr>
          <w:rFonts w:ascii="Arial" w:hAnsi="Arial"/>
          <w:i/>
          <w:sz w:val="22"/>
        </w:rPr>
      </w:pPr>
    </w:p>
    <w:p w14:paraId="04FEF383" w14:textId="1F90BA76" w:rsidR="00B62D70" w:rsidRPr="00A60E32" w:rsidRDefault="00B62D70" w:rsidP="00A031BD">
      <w:pPr>
        <w:snapToGrid w:val="0"/>
        <w:spacing w:line="280" w:lineRule="atLeast"/>
        <w:jc w:val="both"/>
        <w:rPr>
          <w:rFonts w:ascii="Arial" w:hAnsi="Arial" w:cs="Arial"/>
          <w:sz w:val="22"/>
          <w:lang w:eastAsia="zh-HK"/>
        </w:rPr>
      </w:pPr>
      <w:r w:rsidRPr="00B62D70">
        <w:rPr>
          <w:rFonts w:ascii="Arial" w:hAnsi="Arial" w:cs="Arial"/>
          <w:sz w:val="22"/>
          <w:lang w:eastAsia="zh-HK"/>
        </w:rPr>
        <w:lastRenderedPageBreak/>
        <w:t xml:space="preserve">In high risk situations, where EDD has been applied, the information will be reviewed </w:t>
      </w:r>
      <w:r w:rsidRPr="00A60E32">
        <w:rPr>
          <w:rFonts w:ascii="Arial" w:hAnsi="Arial" w:cs="Arial"/>
          <w:sz w:val="22"/>
          <w:lang w:eastAsia="zh-HK"/>
        </w:rPr>
        <w:t xml:space="preserve">annually.  </w:t>
      </w:r>
    </w:p>
    <w:p w14:paraId="43D09C84" w14:textId="77777777" w:rsidR="00B62D70" w:rsidRPr="00B62D70" w:rsidRDefault="00B62D70" w:rsidP="00A031BD">
      <w:pPr>
        <w:snapToGrid w:val="0"/>
        <w:spacing w:line="280" w:lineRule="atLeast"/>
        <w:jc w:val="both"/>
        <w:rPr>
          <w:rFonts w:ascii="Arial" w:hAnsi="Arial" w:cs="Arial"/>
          <w:i/>
          <w:sz w:val="22"/>
          <w:lang w:eastAsia="zh-HK"/>
        </w:rPr>
      </w:pPr>
    </w:p>
    <w:p w14:paraId="35114913" w14:textId="63CB35CA" w:rsidR="00B62D70" w:rsidRPr="00B62D70" w:rsidRDefault="00B62D70" w:rsidP="00A031BD">
      <w:pPr>
        <w:snapToGrid w:val="0"/>
        <w:spacing w:line="280" w:lineRule="atLeast"/>
        <w:jc w:val="both"/>
        <w:rPr>
          <w:rFonts w:ascii="Arial" w:hAnsi="Arial" w:cs="Arial"/>
          <w:sz w:val="22"/>
          <w:lang w:eastAsia="zh-HK"/>
        </w:rPr>
      </w:pPr>
      <w:r w:rsidRPr="00B62D70">
        <w:rPr>
          <w:rFonts w:ascii="Arial" w:hAnsi="Arial" w:cs="Arial"/>
          <w:sz w:val="22"/>
          <w:lang w:eastAsia="zh-HK"/>
        </w:rPr>
        <w:t xml:space="preserve">In normal and low risk situations where CDD and SDD have been applied the information will be reviewed every [x years] </w:t>
      </w:r>
      <w:r>
        <w:rPr>
          <w:rFonts w:ascii="Arial" w:hAnsi="Arial" w:cs="Arial"/>
          <w:sz w:val="22"/>
          <w:lang w:eastAsia="zh-HK"/>
        </w:rPr>
        <w:t>and [y years], respectively.</w:t>
      </w:r>
      <w:r w:rsidR="00165194">
        <w:rPr>
          <w:rFonts w:ascii="Arial" w:hAnsi="Arial" w:cs="Arial"/>
          <w:sz w:val="22"/>
          <w:lang w:eastAsia="zh-HK"/>
        </w:rPr>
        <w:t xml:space="preserve"> A review of</w:t>
      </w:r>
      <w:r w:rsidRPr="00B62D70">
        <w:rPr>
          <w:rFonts w:ascii="Arial" w:hAnsi="Arial" w:cs="Arial"/>
          <w:sz w:val="22"/>
          <w:lang w:eastAsia="zh-HK"/>
        </w:rPr>
        <w:t xml:space="preserve"> the risk category of normal and low risk clients </w:t>
      </w:r>
      <w:r w:rsidR="00165194">
        <w:rPr>
          <w:rFonts w:ascii="Arial" w:hAnsi="Arial" w:cs="Arial"/>
          <w:sz w:val="22"/>
          <w:lang w:eastAsia="zh-HK"/>
        </w:rPr>
        <w:t xml:space="preserve">will be performed </w:t>
      </w:r>
      <w:r w:rsidRPr="00B62D70">
        <w:rPr>
          <w:rFonts w:ascii="Arial" w:hAnsi="Arial" w:cs="Arial"/>
          <w:sz w:val="22"/>
          <w:lang w:eastAsia="zh-HK"/>
        </w:rPr>
        <w:t>annually.</w:t>
      </w:r>
    </w:p>
    <w:p w14:paraId="732D1E90" w14:textId="77777777" w:rsidR="00B62D70" w:rsidRPr="000E380C" w:rsidRDefault="00B62D70" w:rsidP="00A031BD">
      <w:pPr>
        <w:snapToGrid w:val="0"/>
        <w:spacing w:line="280" w:lineRule="atLeast"/>
        <w:jc w:val="both"/>
        <w:rPr>
          <w:rFonts w:ascii="Arial" w:hAnsi="Arial" w:cs="Arial"/>
          <w:i/>
          <w:sz w:val="22"/>
          <w:lang w:eastAsia="zh-HK"/>
        </w:rPr>
      </w:pPr>
    </w:p>
    <w:p w14:paraId="24FA7127" w14:textId="77777777" w:rsidR="00B62D70" w:rsidRPr="0092628B" w:rsidRDefault="00B62D70" w:rsidP="00A031BD">
      <w:pPr>
        <w:snapToGrid w:val="0"/>
        <w:spacing w:line="280" w:lineRule="atLeast"/>
        <w:jc w:val="both"/>
        <w:rPr>
          <w:rFonts w:ascii="Arial" w:hAnsi="Arial" w:cs="Arial"/>
          <w:sz w:val="22"/>
          <w:lang w:eastAsia="zh-HK"/>
        </w:rPr>
      </w:pPr>
      <w:r w:rsidRPr="0092628B">
        <w:rPr>
          <w:rFonts w:ascii="Arial" w:hAnsi="Arial" w:cs="Arial"/>
          <w:sz w:val="22"/>
          <w:lang w:eastAsia="zh-HK"/>
        </w:rPr>
        <w:t>Trigger events</w:t>
      </w:r>
    </w:p>
    <w:p w14:paraId="36D39BF1" w14:textId="77777777" w:rsidR="00B62D70" w:rsidRPr="000E380C" w:rsidRDefault="00B62D70" w:rsidP="00A031BD">
      <w:pPr>
        <w:snapToGrid w:val="0"/>
        <w:spacing w:line="280" w:lineRule="atLeast"/>
        <w:jc w:val="both"/>
        <w:rPr>
          <w:rFonts w:ascii="Arial" w:hAnsi="Arial" w:cs="Arial"/>
          <w:i/>
          <w:sz w:val="22"/>
          <w:u w:val="single"/>
          <w:lang w:eastAsia="zh-HK"/>
        </w:rPr>
      </w:pPr>
    </w:p>
    <w:p w14:paraId="6F123DEC" w14:textId="05DB6984" w:rsidR="00B62D70" w:rsidRPr="00B62D70" w:rsidRDefault="00B62D70" w:rsidP="00A031BD">
      <w:pPr>
        <w:snapToGrid w:val="0"/>
        <w:spacing w:line="280" w:lineRule="atLeast"/>
        <w:jc w:val="both"/>
        <w:rPr>
          <w:rFonts w:ascii="Arial" w:hAnsi="Arial" w:cs="Arial"/>
          <w:sz w:val="22"/>
          <w:lang w:eastAsia="zh-HK"/>
        </w:rPr>
      </w:pPr>
      <w:r w:rsidRPr="00B62D70">
        <w:rPr>
          <w:rFonts w:ascii="Arial" w:hAnsi="Arial" w:cs="Arial"/>
          <w:sz w:val="22"/>
          <w:lang w:eastAsia="zh-HK"/>
        </w:rPr>
        <w:t xml:space="preserve">Apart from conducting periodic on-going monitoring of all clients’ transactions following the above timeframes, </w:t>
      </w:r>
      <w:r w:rsidR="00165194">
        <w:rPr>
          <w:rFonts w:ascii="Arial" w:hAnsi="Arial" w:cs="Arial"/>
          <w:sz w:val="22"/>
          <w:lang w:eastAsia="zh-HK"/>
        </w:rPr>
        <w:t xml:space="preserve">we </w:t>
      </w:r>
      <w:r w:rsidRPr="00B62D70">
        <w:rPr>
          <w:rFonts w:ascii="Arial" w:hAnsi="Arial" w:cs="Arial"/>
          <w:sz w:val="22"/>
          <w:lang w:eastAsia="zh-HK"/>
        </w:rPr>
        <w:t xml:space="preserve">will take steps to ensure that the client information obtained for the purposes of CDD is up to date and relevant when any of the following trigger events occurs: </w:t>
      </w:r>
    </w:p>
    <w:p w14:paraId="29DE6A9E" w14:textId="77777777" w:rsidR="00B62D70" w:rsidRPr="00B62D70" w:rsidRDefault="00B62D70" w:rsidP="00A031BD">
      <w:pPr>
        <w:snapToGrid w:val="0"/>
        <w:spacing w:line="280" w:lineRule="atLeast"/>
        <w:jc w:val="both"/>
        <w:rPr>
          <w:rFonts w:ascii="Arial" w:hAnsi="Arial" w:cs="Arial"/>
          <w:sz w:val="22"/>
          <w:lang w:eastAsia="zh-HK"/>
        </w:rPr>
      </w:pPr>
    </w:p>
    <w:p w14:paraId="097956DD" w14:textId="6A7E535D" w:rsidR="005773DC" w:rsidRDefault="00B62D70" w:rsidP="005773DC">
      <w:pPr>
        <w:pStyle w:val="ListParagraph"/>
        <w:numPr>
          <w:ilvl w:val="2"/>
          <w:numId w:val="16"/>
        </w:numPr>
        <w:snapToGrid w:val="0"/>
        <w:spacing w:line="280" w:lineRule="atLeast"/>
        <w:ind w:left="450"/>
        <w:jc w:val="both"/>
        <w:rPr>
          <w:rFonts w:ascii="Arial" w:hAnsi="Arial" w:cs="Arial"/>
          <w:sz w:val="22"/>
          <w:lang w:eastAsia="zh-HK"/>
        </w:rPr>
      </w:pPr>
      <w:r w:rsidRPr="005773DC">
        <w:rPr>
          <w:rFonts w:ascii="Arial" w:hAnsi="Arial" w:cs="Arial"/>
          <w:sz w:val="22"/>
          <w:lang w:eastAsia="zh-HK"/>
        </w:rPr>
        <w:t xml:space="preserve">a significant or unusual activity </w:t>
      </w:r>
      <w:r w:rsidR="005773DC">
        <w:rPr>
          <w:rFonts w:ascii="Arial" w:hAnsi="Arial" w:cs="Arial"/>
          <w:sz w:val="22"/>
          <w:lang w:eastAsia="zh-HK"/>
        </w:rPr>
        <w:t>or transaction is to take place;</w:t>
      </w:r>
    </w:p>
    <w:p w14:paraId="087E25D7" w14:textId="77777777" w:rsidR="005773DC" w:rsidRDefault="00B62D70" w:rsidP="005773DC">
      <w:pPr>
        <w:pStyle w:val="ListParagraph"/>
        <w:numPr>
          <w:ilvl w:val="2"/>
          <w:numId w:val="16"/>
        </w:numPr>
        <w:snapToGrid w:val="0"/>
        <w:spacing w:line="280" w:lineRule="atLeast"/>
        <w:ind w:left="450"/>
        <w:jc w:val="both"/>
        <w:rPr>
          <w:rFonts w:ascii="Arial" w:hAnsi="Arial" w:cs="Arial"/>
          <w:sz w:val="22"/>
          <w:lang w:eastAsia="zh-HK"/>
        </w:rPr>
      </w:pPr>
      <w:r w:rsidRPr="005773DC">
        <w:rPr>
          <w:rFonts w:ascii="Arial" w:hAnsi="Arial" w:cs="Arial"/>
          <w:sz w:val="22"/>
          <w:lang w:eastAsia="zh-HK"/>
        </w:rPr>
        <w:t>a material change occurs in a client’s ownership and/or activities;</w:t>
      </w:r>
    </w:p>
    <w:p w14:paraId="5C2D6D80" w14:textId="77777777" w:rsidR="005773DC" w:rsidRDefault="00B62D70" w:rsidP="005773DC">
      <w:pPr>
        <w:pStyle w:val="ListParagraph"/>
        <w:numPr>
          <w:ilvl w:val="2"/>
          <w:numId w:val="16"/>
        </w:numPr>
        <w:snapToGrid w:val="0"/>
        <w:spacing w:line="280" w:lineRule="atLeast"/>
        <w:ind w:left="450"/>
        <w:jc w:val="both"/>
        <w:rPr>
          <w:rFonts w:ascii="Arial" w:hAnsi="Arial" w:cs="Arial"/>
          <w:sz w:val="22"/>
          <w:lang w:eastAsia="zh-HK"/>
        </w:rPr>
      </w:pPr>
      <w:r w:rsidRPr="005773DC">
        <w:rPr>
          <w:rFonts w:ascii="Arial" w:hAnsi="Arial" w:cs="Arial"/>
          <w:sz w:val="22"/>
          <w:lang w:eastAsia="zh-HK"/>
        </w:rPr>
        <w:t>there is a substantial change in client documentation standards; or</w:t>
      </w:r>
    </w:p>
    <w:p w14:paraId="6719575B" w14:textId="128997E7" w:rsidR="00B62D70" w:rsidRPr="005773DC" w:rsidRDefault="00B62D70" w:rsidP="005773DC">
      <w:pPr>
        <w:pStyle w:val="ListParagraph"/>
        <w:numPr>
          <w:ilvl w:val="2"/>
          <w:numId w:val="16"/>
        </w:numPr>
        <w:snapToGrid w:val="0"/>
        <w:spacing w:line="280" w:lineRule="atLeast"/>
        <w:ind w:left="450"/>
        <w:jc w:val="both"/>
        <w:rPr>
          <w:rFonts w:ascii="Arial" w:hAnsi="Arial" w:cs="Arial"/>
          <w:sz w:val="22"/>
          <w:lang w:eastAsia="zh-HK"/>
        </w:rPr>
      </w:pPr>
      <w:r w:rsidRPr="005773DC">
        <w:rPr>
          <w:rFonts w:ascii="Arial" w:hAnsi="Arial" w:cs="Arial"/>
          <w:sz w:val="22"/>
          <w:lang w:eastAsia="zh-HK"/>
        </w:rPr>
        <w:t>we are aware that there is insufficient informa</w:t>
      </w:r>
      <w:r w:rsidR="005773DC">
        <w:rPr>
          <w:rFonts w:ascii="Arial" w:hAnsi="Arial" w:cs="Arial"/>
          <w:sz w:val="22"/>
          <w:lang w:eastAsia="zh-HK"/>
        </w:rPr>
        <w:t>tion about a particular client.</w:t>
      </w:r>
    </w:p>
    <w:p w14:paraId="4E4D7F6C" w14:textId="77777777" w:rsidR="005773DC" w:rsidRDefault="005773DC" w:rsidP="005773DC">
      <w:pPr>
        <w:tabs>
          <w:tab w:val="left" w:pos="0"/>
        </w:tabs>
        <w:snapToGrid w:val="0"/>
        <w:spacing w:line="280" w:lineRule="atLeast"/>
        <w:jc w:val="both"/>
        <w:rPr>
          <w:rFonts w:ascii="Arial" w:hAnsi="Arial" w:cs="Arial"/>
          <w:i/>
          <w:sz w:val="22"/>
          <w:lang w:eastAsia="zh-HK"/>
        </w:rPr>
      </w:pPr>
    </w:p>
    <w:p w14:paraId="52392DED" w14:textId="6A947DDB" w:rsidR="00B62D70" w:rsidRPr="005773DC" w:rsidRDefault="00B62D70" w:rsidP="005773DC">
      <w:pPr>
        <w:tabs>
          <w:tab w:val="left" w:pos="0"/>
        </w:tabs>
        <w:snapToGrid w:val="0"/>
        <w:spacing w:line="280" w:lineRule="atLeast"/>
        <w:jc w:val="both"/>
        <w:rPr>
          <w:rFonts w:ascii="Arial" w:hAnsi="Arial" w:cs="Arial"/>
          <w:i/>
          <w:sz w:val="22"/>
          <w:lang w:eastAsia="zh-HK"/>
        </w:rPr>
      </w:pPr>
      <w:r w:rsidRPr="005773DC">
        <w:rPr>
          <w:rFonts w:ascii="Arial" w:hAnsi="Arial" w:cs="Arial"/>
          <w:i/>
          <w:sz w:val="22"/>
          <w:lang w:eastAsia="zh-HK"/>
        </w:rPr>
        <w:t>(</w:t>
      </w:r>
      <w:r w:rsidR="005773DC" w:rsidRPr="005773DC">
        <w:rPr>
          <w:rFonts w:ascii="Arial" w:hAnsi="Arial" w:cs="Arial"/>
          <w:i/>
          <w:sz w:val="22"/>
          <w:lang w:eastAsia="zh-HK"/>
        </w:rPr>
        <w:t>N</w:t>
      </w:r>
      <w:r w:rsidRPr="005773DC">
        <w:rPr>
          <w:rFonts w:ascii="Arial" w:hAnsi="Arial" w:cs="Arial"/>
          <w:i/>
          <w:sz w:val="22"/>
          <w:lang w:eastAsia="zh-HK"/>
        </w:rPr>
        <w:t>ote: the above trigger events are examples from section 6</w:t>
      </w:r>
      <w:r w:rsidR="00C14F21">
        <w:rPr>
          <w:rFonts w:ascii="Arial" w:hAnsi="Arial" w:cs="Arial"/>
          <w:i/>
          <w:sz w:val="22"/>
          <w:lang w:eastAsia="zh-HK"/>
        </w:rPr>
        <w:t>20.10.7 of the AML Guidelines.</w:t>
      </w:r>
      <w:r w:rsidRPr="005773DC">
        <w:rPr>
          <w:rFonts w:ascii="Arial" w:hAnsi="Arial" w:cs="Arial"/>
          <w:i/>
          <w:sz w:val="22"/>
          <w:lang w:eastAsia="zh-HK"/>
        </w:rPr>
        <w:t>)</w:t>
      </w:r>
    </w:p>
    <w:p w14:paraId="19F19142" w14:textId="77777777" w:rsidR="00094A8E" w:rsidRPr="00020DE7" w:rsidRDefault="00094A8E" w:rsidP="00A031BD">
      <w:pPr>
        <w:snapToGrid w:val="0"/>
        <w:spacing w:line="280" w:lineRule="atLeast"/>
        <w:jc w:val="both"/>
        <w:rPr>
          <w:rFonts w:ascii="Arial" w:hAnsi="Arial" w:cs="Arial"/>
          <w:sz w:val="22"/>
        </w:rPr>
      </w:pPr>
    </w:p>
    <w:p w14:paraId="543F8067" w14:textId="3F7A2F25" w:rsidR="00020DE7" w:rsidRPr="00C14F21" w:rsidRDefault="00020DE7" w:rsidP="0085362C">
      <w:pPr>
        <w:pStyle w:val="ListParagraph"/>
        <w:numPr>
          <w:ilvl w:val="0"/>
          <w:numId w:val="10"/>
        </w:numPr>
        <w:snapToGrid w:val="0"/>
        <w:spacing w:line="280" w:lineRule="atLeast"/>
        <w:ind w:left="360"/>
        <w:jc w:val="both"/>
        <w:rPr>
          <w:rFonts w:ascii="Arial" w:hAnsi="Arial" w:cs="Arial"/>
          <w:b/>
          <w:i/>
          <w:szCs w:val="24"/>
        </w:rPr>
      </w:pPr>
      <w:r w:rsidRPr="00C14F21">
        <w:rPr>
          <w:rFonts w:ascii="Arial" w:hAnsi="Arial" w:cs="Arial"/>
          <w:b/>
          <w:i/>
          <w:szCs w:val="24"/>
        </w:rPr>
        <w:t>Record keeping</w:t>
      </w:r>
    </w:p>
    <w:p w14:paraId="5B134B46" w14:textId="77777777" w:rsidR="009B6768" w:rsidRDefault="009B6768" w:rsidP="0085362C">
      <w:pPr>
        <w:snapToGrid w:val="0"/>
        <w:spacing w:line="280" w:lineRule="atLeast"/>
        <w:jc w:val="both"/>
        <w:rPr>
          <w:rFonts w:ascii="Arial" w:hAnsi="Arial" w:cs="Arial"/>
          <w:sz w:val="22"/>
        </w:rPr>
      </w:pPr>
    </w:p>
    <w:p w14:paraId="232DD553" w14:textId="607797B3" w:rsidR="00020DE7" w:rsidRDefault="00020DE7" w:rsidP="00A031BD">
      <w:pPr>
        <w:snapToGrid w:val="0"/>
        <w:spacing w:line="280" w:lineRule="atLeast"/>
        <w:jc w:val="both"/>
        <w:rPr>
          <w:rFonts w:ascii="Arial" w:hAnsi="Arial" w:cs="Arial"/>
          <w:sz w:val="22"/>
        </w:rPr>
      </w:pPr>
      <w:r w:rsidRPr="00020DE7">
        <w:rPr>
          <w:rFonts w:ascii="Arial" w:hAnsi="Arial" w:cs="Arial"/>
          <w:sz w:val="22"/>
        </w:rPr>
        <w:t>We will keep full records of:</w:t>
      </w:r>
    </w:p>
    <w:p w14:paraId="6703A2EA" w14:textId="77777777" w:rsidR="0021566A" w:rsidRPr="00020DE7" w:rsidRDefault="0021566A" w:rsidP="0085362C">
      <w:pPr>
        <w:snapToGrid w:val="0"/>
        <w:spacing w:line="280" w:lineRule="atLeast"/>
        <w:jc w:val="both"/>
        <w:rPr>
          <w:rFonts w:ascii="Arial" w:hAnsi="Arial" w:cs="Arial"/>
          <w:sz w:val="22"/>
        </w:rPr>
      </w:pPr>
    </w:p>
    <w:p w14:paraId="305D85D4" w14:textId="57469BE3" w:rsidR="00020DE7" w:rsidRPr="009B6768" w:rsidRDefault="00020DE7" w:rsidP="0085362C">
      <w:pPr>
        <w:pStyle w:val="ListParagraph"/>
        <w:numPr>
          <w:ilvl w:val="0"/>
          <w:numId w:val="5"/>
        </w:numPr>
        <w:snapToGrid w:val="0"/>
        <w:spacing w:line="280" w:lineRule="atLeast"/>
        <w:ind w:left="360"/>
        <w:contextualSpacing w:val="0"/>
        <w:jc w:val="both"/>
        <w:rPr>
          <w:rFonts w:ascii="Arial" w:hAnsi="Arial" w:cs="Arial"/>
          <w:sz w:val="22"/>
        </w:rPr>
      </w:pPr>
      <w:r w:rsidRPr="009B6768">
        <w:rPr>
          <w:rFonts w:ascii="Arial" w:hAnsi="Arial" w:cs="Arial" w:hint="eastAsia"/>
          <w:sz w:val="22"/>
        </w:rPr>
        <w:t>CDD checks</w:t>
      </w:r>
    </w:p>
    <w:p w14:paraId="0EE3E418" w14:textId="20E61954" w:rsidR="00020DE7" w:rsidRPr="009B6768" w:rsidRDefault="00020DE7" w:rsidP="0085362C">
      <w:pPr>
        <w:pStyle w:val="ListParagraph"/>
        <w:numPr>
          <w:ilvl w:val="0"/>
          <w:numId w:val="5"/>
        </w:numPr>
        <w:snapToGrid w:val="0"/>
        <w:spacing w:line="280" w:lineRule="atLeast"/>
        <w:ind w:left="360"/>
        <w:contextualSpacing w:val="0"/>
        <w:jc w:val="both"/>
        <w:rPr>
          <w:rFonts w:ascii="Arial" w:hAnsi="Arial" w:cs="Arial"/>
          <w:sz w:val="22"/>
        </w:rPr>
      </w:pPr>
      <w:r w:rsidRPr="009B6768">
        <w:rPr>
          <w:rFonts w:ascii="Arial" w:hAnsi="Arial" w:cs="Arial" w:hint="eastAsia"/>
          <w:sz w:val="22"/>
        </w:rPr>
        <w:t>details of beneficial ownership</w:t>
      </w:r>
    </w:p>
    <w:p w14:paraId="57B22A89" w14:textId="4CFBCBF9" w:rsidR="00020DE7" w:rsidRPr="009B6768" w:rsidRDefault="00020DE7" w:rsidP="0085362C">
      <w:pPr>
        <w:pStyle w:val="ListParagraph"/>
        <w:numPr>
          <w:ilvl w:val="0"/>
          <w:numId w:val="1"/>
        </w:numPr>
        <w:snapToGrid w:val="0"/>
        <w:spacing w:line="280" w:lineRule="atLeast"/>
        <w:ind w:left="360"/>
        <w:contextualSpacing w:val="0"/>
        <w:jc w:val="both"/>
        <w:rPr>
          <w:rFonts w:ascii="Arial" w:hAnsi="Arial" w:cs="Arial"/>
          <w:sz w:val="22"/>
        </w:rPr>
      </w:pPr>
      <w:r w:rsidRPr="009B6768">
        <w:rPr>
          <w:rFonts w:ascii="Arial" w:hAnsi="Arial" w:cs="Arial" w:hint="eastAsia"/>
          <w:sz w:val="22"/>
        </w:rPr>
        <w:t>know-your-client forms</w:t>
      </w:r>
    </w:p>
    <w:p w14:paraId="69169DFD" w14:textId="40E4FEB9" w:rsidR="00020DE7" w:rsidRPr="00020DE7" w:rsidRDefault="00020DE7" w:rsidP="0085362C">
      <w:pPr>
        <w:pStyle w:val="ListParagraph"/>
        <w:numPr>
          <w:ilvl w:val="0"/>
          <w:numId w:val="1"/>
        </w:numPr>
        <w:snapToGrid w:val="0"/>
        <w:spacing w:line="280" w:lineRule="atLeast"/>
        <w:ind w:left="360"/>
        <w:contextualSpacing w:val="0"/>
        <w:jc w:val="both"/>
        <w:rPr>
          <w:rFonts w:ascii="Arial" w:hAnsi="Arial" w:cs="Arial"/>
          <w:sz w:val="22"/>
        </w:rPr>
      </w:pPr>
      <w:r w:rsidRPr="00020DE7">
        <w:rPr>
          <w:rFonts w:ascii="Arial" w:hAnsi="Arial" w:cs="Arial" w:hint="eastAsia"/>
          <w:sz w:val="22"/>
        </w:rPr>
        <w:t>evidence of staff training</w:t>
      </w:r>
    </w:p>
    <w:p w14:paraId="23B7D30C" w14:textId="2CC88B80" w:rsidR="00020DE7" w:rsidRPr="00020DE7" w:rsidRDefault="00020DE7" w:rsidP="0085362C">
      <w:pPr>
        <w:pStyle w:val="ListParagraph"/>
        <w:numPr>
          <w:ilvl w:val="0"/>
          <w:numId w:val="1"/>
        </w:numPr>
        <w:snapToGrid w:val="0"/>
        <w:spacing w:line="280" w:lineRule="atLeast"/>
        <w:ind w:left="360"/>
        <w:contextualSpacing w:val="0"/>
        <w:jc w:val="both"/>
        <w:rPr>
          <w:rFonts w:ascii="Arial" w:hAnsi="Arial" w:cs="Arial"/>
          <w:sz w:val="22"/>
        </w:rPr>
      </w:pPr>
      <w:r w:rsidRPr="00020DE7">
        <w:rPr>
          <w:rFonts w:ascii="Arial" w:hAnsi="Arial" w:cs="Arial" w:hint="eastAsia"/>
          <w:sz w:val="22"/>
        </w:rPr>
        <w:t>internal reports to the MLRO</w:t>
      </w:r>
    </w:p>
    <w:p w14:paraId="5E28288F" w14:textId="50EDFBF5" w:rsidR="00020DE7" w:rsidRPr="00020DE7" w:rsidRDefault="00020DE7" w:rsidP="0085362C">
      <w:pPr>
        <w:pStyle w:val="ListParagraph"/>
        <w:numPr>
          <w:ilvl w:val="0"/>
          <w:numId w:val="1"/>
        </w:numPr>
        <w:snapToGrid w:val="0"/>
        <w:spacing w:line="280" w:lineRule="atLeast"/>
        <w:ind w:left="360"/>
        <w:contextualSpacing w:val="0"/>
        <w:jc w:val="both"/>
        <w:rPr>
          <w:rFonts w:ascii="Arial" w:hAnsi="Arial" w:cs="Arial"/>
          <w:sz w:val="22"/>
        </w:rPr>
      </w:pPr>
      <w:r w:rsidRPr="00020DE7">
        <w:rPr>
          <w:rFonts w:ascii="Arial" w:hAnsi="Arial" w:cs="Arial" w:hint="eastAsia"/>
          <w:sz w:val="22"/>
        </w:rPr>
        <w:t>external reports to JFIU</w:t>
      </w:r>
    </w:p>
    <w:p w14:paraId="45A8CE71" w14:textId="77BA9BCB" w:rsidR="00020DE7" w:rsidRPr="009B6768" w:rsidRDefault="00020DE7" w:rsidP="0085362C">
      <w:pPr>
        <w:pStyle w:val="ListParagraph"/>
        <w:numPr>
          <w:ilvl w:val="0"/>
          <w:numId w:val="1"/>
        </w:numPr>
        <w:snapToGrid w:val="0"/>
        <w:spacing w:line="280" w:lineRule="atLeast"/>
        <w:ind w:left="360"/>
        <w:contextualSpacing w:val="0"/>
        <w:jc w:val="both"/>
        <w:rPr>
          <w:rFonts w:ascii="Arial" w:hAnsi="Arial" w:cs="Arial"/>
          <w:sz w:val="22"/>
        </w:rPr>
      </w:pPr>
      <w:r w:rsidRPr="009B6768">
        <w:rPr>
          <w:rFonts w:ascii="Arial" w:hAnsi="Arial" w:cs="Arial" w:hint="eastAsia"/>
          <w:sz w:val="22"/>
        </w:rPr>
        <w:t xml:space="preserve">the </w:t>
      </w:r>
      <w:r w:rsidR="009B6768" w:rsidRPr="009B6768">
        <w:rPr>
          <w:rFonts w:ascii="Arial" w:hAnsi="Arial" w:cs="Arial"/>
          <w:sz w:val="22"/>
        </w:rPr>
        <w:t>practice’</w:t>
      </w:r>
      <w:r w:rsidRPr="009B6768">
        <w:rPr>
          <w:rFonts w:ascii="Arial" w:hAnsi="Arial" w:cs="Arial" w:hint="eastAsia"/>
          <w:sz w:val="22"/>
        </w:rPr>
        <w:t>s risk assessment</w:t>
      </w:r>
    </w:p>
    <w:p w14:paraId="78048C61" w14:textId="186BE3BA" w:rsidR="00020DE7" w:rsidRPr="009B6768" w:rsidRDefault="00020DE7" w:rsidP="0085362C">
      <w:pPr>
        <w:pStyle w:val="ListParagraph"/>
        <w:numPr>
          <w:ilvl w:val="0"/>
          <w:numId w:val="1"/>
        </w:numPr>
        <w:snapToGrid w:val="0"/>
        <w:spacing w:line="280" w:lineRule="atLeast"/>
        <w:ind w:left="360"/>
        <w:contextualSpacing w:val="0"/>
        <w:jc w:val="both"/>
        <w:rPr>
          <w:rFonts w:ascii="Arial" w:hAnsi="Arial" w:cs="Arial"/>
          <w:sz w:val="22"/>
        </w:rPr>
      </w:pPr>
      <w:r w:rsidRPr="009B6768">
        <w:rPr>
          <w:rFonts w:ascii="Arial" w:hAnsi="Arial" w:cs="Arial" w:hint="eastAsia"/>
          <w:sz w:val="22"/>
        </w:rPr>
        <w:t>the practice</w:t>
      </w:r>
      <w:r w:rsidR="009B6768" w:rsidRPr="009B6768">
        <w:rPr>
          <w:rFonts w:ascii="Arial" w:hAnsi="Arial" w:cs="Arial"/>
          <w:sz w:val="22"/>
        </w:rPr>
        <w:t>’</w:t>
      </w:r>
      <w:r w:rsidRPr="009B6768">
        <w:rPr>
          <w:rFonts w:ascii="Arial" w:hAnsi="Arial" w:cs="Arial" w:hint="eastAsia"/>
          <w:sz w:val="22"/>
        </w:rPr>
        <w:t>s compliance checks</w:t>
      </w:r>
    </w:p>
    <w:p w14:paraId="618A6271" w14:textId="631F7CDD" w:rsidR="00020DE7" w:rsidRPr="009B6768" w:rsidRDefault="00020DE7" w:rsidP="0085362C">
      <w:pPr>
        <w:pStyle w:val="ListParagraph"/>
        <w:numPr>
          <w:ilvl w:val="0"/>
          <w:numId w:val="1"/>
        </w:numPr>
        <w:snapToGrid w:val="0"/>
        <w:spacing w:line="280" w:lineRule="atLeast"/>
        <w:ind w:left="360"/>
        <w:contextualSpacing w:val="0"/>
        <w:jc w:val="both"/>
        <w:rPr>
          <w:rFonts w:ascii="Arial" w:hAnsi="Arial" w:cs="Arial"/>
          <w:sz w:val="22"/>
        </w:rPr>
      </w:pPr>
      <w:r w:rsidRPr="009B6768">
        <w:rPr>
          <w:rFonts w:ascii="Arial" w:hAnsi="Arial" w:cs="Arial" w:hint="eastAsia"/>
          <w:sz w:val="22"/>
        </w:rPr>
        <w:t>transaction files</w:t>
      </w:r>
    </w:p>
    <w:p w14:paraId="2693C5C1" w14:textId="77777777" w:rsidR="009B6768" w:rsidRDefault="009B6768" w:rsidP="0085362C">
      <w:pPr>
        <w:snapToGrid w:val="0"/>
        <w:spacing w:line="280" w:lineRule="atLeast"/>
        <w:jc w:val="both"/>
        <w:rPr>
          <w:rFonts w:ascii="Arial" w:hAnsi="Arial" w:cs="Arial"/>
          <w:sz w:val="22"/>
        </w:rPr>
      </w:pPr>
    </w:p>
    <w:p w14:paraId="69EC4064" w14:textId="0547DDB9" w:rsidR="00020DE7" w:rsidRDefault="00165194" w:rsidP="0085362C">
      <w:pPr>
        <w:snapToGrid w:val="0"/>
        <w:spacing w:line="280" w:lineRule="atLeast"/>
        <w:jc w:val="both"/>
        <w:rPr>
          <w:rFonts w:ascii="Arial" w:hAnsi="Arial" w:cs="Arial"/>
          <w:sz w:val="22"/>
        </w:rPr>
      </w:pPr>
      <w:r>
        <w:rPr>
          <w:rFonts w:ascii="Arial" w:hAnsi="Arial" w:cs="Arial"/>
          <w:sz w:val="22"/>
        </w:rPr>
        <w:t xml:space="preserve">to the extent that they are applicable under this policy. </w:t>
      </w:r>
      <w:r w:rsidR="00020DE7" w:rsidRPr="00020DE7">
        <w:rPr>
          <w:rFonts w:ascii="Arial" w:hAnsi="Arial" w:cs="Arial"/>
          <w:sz w:val="22"/>
        </w:rPr>
        <w:t xml:space="preserve">All such records will be retained for at least </w:t>
      </w:r>
      <w:r w:rsidR="00C14F21">
        <w:rPr>
          <w:rFonts w:ascii="Arial" w:hAnsi="Arial" w:cs="Arial"/>
          <w:sz w:val="22"/>
        </w:rPr>
        <w:t>[</w:t>
      </w:r>
      <w:r w:rsidR="00020DE7" w:rsidRPr="00020DE7">
        <w:rPr>
          <w:rFonts w:ascii="Arial" w:hAnsi="Arial" w:cs="Arial"/>
          <w:sz w:val="22"/>
        </w:rPr>
        <w:t>five</w:t>
      </w:r>
      <w:r w:rsidR="00C14F21">
        <w:rPr>
          <w:rFonts w:ascii="Arial" w:hAnsi="Arial" w:cs="Arial"/>
          <w:sz w:val="22"/>
        </w:rPr>
        <w:t>]</w:t>
      </w:r>
      <w:r w:rsidR="00020DE7" w:rsidRPr="00020DE7">
        <w:rPr>
          <w:rFonts w:ascii="Arial" w:hAnsi="Arial" w:cs="Arial"/>
          <w:sz w:val="22"/>
        </w:rPr>
        <w:t xml:space="preserve"> years from the end of the business relationship or the date of</w:t>
      </w:r>
      <w:r w:rsidR="009B6768">
        <w:rPr>
          <w:rFonts w:ascii="Arial" w:hAnsi="Arial" w:cs="Arial"/>
          <w:sz w:val="22"/>
        </w:rPr>
        <w:t xml:space="preserve"> </w:t>
      </w:r>
      <w:r w:rsidR="00020DE7" w:rsidRPr="00020DE7">
        <w:rPr>
          <w:rFonts w:ascii="Arial" w:hAnsi="Arial" w:cs="Arial"/>
          <w:sz w:val="22"/>
        </w:rPr>
        <w:t>the transaction as applicable. The latest records of CDD checks, details of beneficial ownership and know</w:t>
      </w:r>
      <w:r w:rsidR="009B6768">
        <w:rPr>
          <w:rFonts w:ascii="Arial" w:hAnsi="Arial" w:cs="Arial"/>
          <w:sz w:val="22"/>
        </w:rPr>
        <w:t>-</w:t>
      </w:r>
      <w:r w:rsidR="00020DE7" w:rsidRPr="00020DE7">
        <w:rPr>
          <w:rFonts w:ascii="Arial" w:hAnsi="Arial" w:cs="Arial"/>
          <w:sz w:val="22"/>
        </w:rPr>
        <w:t xml:space="preserve">your-client forms for clients with whom we had a business relationship will be kept for at least </w:t>
      </w:r>
      <w:r w:rsidR="00C14F21">
        <w:rPr>
          <w:rFonts w:ascii="Arial" w:hAnsi="Arial" w:cs="Arial"/>
          <w:sz w:val="22"/>
        </w:rPr>
        <w:t>[</w:t>
      </w:r>
      <w:r w:rsidR="00020DE7" w:rsidRPr="00020DE7">
        <w:rPr>
          <w:rFonts w:ascii="Arial" w:hAnsi="Arial" w:cs="Arial"/>
          <w:sz w:val="22"/>
        </w:rPr>
        <w:t>five</w:t>
      </w:r>
      <w:r w:rsidR="00C14F21">
        <w:rPr>
          <w:rFonts w:ascii="Arial" w:hAnsi="Arial" w:cs="Arial"/>
          <w:sz w:val="22"/>
        </w:rPr>
        <w:t>]</w:t>
      </w:r>
      <w:r w:rsidR="00020DE7" w:rsidRPr="00020DE7">
        <w:rPr>
          <w:rFonts w:ascii="Arial" w:hAnsi="Arial" w:cs="Arial"/>
          <w:sz w:val="22"/>
        </w:rPr>
        <w:t xml:space="preserve"> years from</w:t>
      </w:r>
      <w:r w:rsidR="00C14F21">
        <w:rPr>
          <w:rFonts w:ascii="Arial" w:hAnsi="Arial" w:cs="Arial"/>
          <w:sz w:val="22"/>
        </w:rPr>
        <w:t xml:space="preserve"> </w:t>
      </w:r>
      <w:r w:rsidR="00020DE7" w:rsidRPr="00020DE7">
        <w:rPr>
          <w:rFonts w:ascii="Arial" w:hAnsi="Arial" w:cs="Arial"/>
          <w:sz w:val="22"/>
        </w:rPr>
        <w:t>the end of the relationship.</w:t>
      </w:r>
    </w:p>
    <w:p w14:paraId="452F87AE" w14:textId="77777777" w:rsidR="00FA15E9" w:rsidRPr="00020DE7" w:rsidRDefault="00FA15E9" w:rsidP="0085362C">
      <w:pPr>
        <w:snapToGrid w:val="0"/>
        <w:spacing w:line="280" w:lineRule="atLeast"/>
        <w:jc w:val="both"/>
        <w:rPr>
          <w:rFonts w:ascii="Arial" w:hAnsi="Arial" w:cs="Arial"/>
          <w:sz w:val="22"/>
        </w:rPr>
      </w:pPr>
    </w:p>
    <w:p w14:paraId="276F3DBB" w14:textId="78F17E60" w:rsidR="00020DE7" w:rsidRPr="00C14F21" w:rsidRDefault="00020DE7" w:rsidP="0085362C">
      <w:pPr>
        <w:pStyle w:val="ListParagraph"/>
        <w:numPr>
          <w:ilvl w:val="0"/>
          <w:numId w:val="10"/>
        </w:numPr>
        <w:snapToGrid w:val="0"/>
        <w:spacing w:line="280" w:lineRule="atLeast"/>
        <w:ind w:left="360"/>
        <w:jc w:val="both"/>
        <w:rPr>
          <w:rFonts w:ascii="Arial" w:hAnsi="Arial" w:cs="Arial"/>
          <w:b/>
          <w:i/>
          <w:szCs w:val="24"/>
        </w:rPr>
      </w:pPr>
      <w:r w:rsidRPr="00C14F21">
        <w:rPr>
          <w:rFonts w:ascii="Arial" w:hAnsi="Arial" w:cs="Arial"/>
          <w:b/>
          <w:i/>
          <w:szCs w:val="24"/>
        </w:rPr>
        <w:t>Training and hiring</w:t>
      </w:r>
    </w:p>
    <w:p w14:paraId="18BEC22A" w14:textId="77777777" w:rsidR="009B6768" w:rsidRDefault="009B6768" w:rsidP="0085362C">
      <w:pPr>
        <w:snapToGrid w:val="0"/>
        <w:spacing w:line="280" w:lineRule="atLeast"/>
        <w:jc w:val="both"/>
        <w:rPr>
          <w:rFonts w:ascii="Arial" w:hAnsi="Arial" w:cs="Arial"/>
          <w:sz w:val="22"/>
        </w:rPr>
      </w:pPr>
    </w:p>
    <w:p w14:paraId="719FFD02" w14:textId="06EDDEA6" w:rsidR="00020DE7" w:rsidRDefault="00020DE7" w:rsidP="0085362C">
      <w:pPr>
        <w:snapToGrid w:val="0"/>
        <w:spacing w:line="280" w:lineRule="atLeast"/>
        <w:jc w:val="both"/>
        <w:rPr>
          <w:rFonts w:ascii="Arial" w:hAnsi="Arial" w:cs="Arial"/>
          <w:sz w:val="22"/>
        </w:rPr>
      </w:pPr>
      <w:r w:rsidRPr="00020DE7">
        <w:rPr>
          <w:rFonts w:ascii="Arial" w:hAnsi="Arial" w:cs="Arial"/>
          <w:sz w:val="22"/>
        </w:rPr>
        <w:t>All relevant staff must receive adequate training on:</w:t>
      </w:r>
    </w:p>
    <w:p w14:paraId="6E8345FE" w14:textId="77777777" w:rsidR="00C14F21" w:rsidRPr="00020DE7" w:rsidRDefault="00C14F21" w:rsidP="00A031BD">
      <w:pPr>
        <w:snapToGrid w:val="0"/>
        <w:spacing w:line="280" w:lineRule="atLeast"/>
        <w:jc w:val="both"/>
        <w:rPr>
          <w:rFonts w:ascii="Arial" w:hAnsi="Arial" w:cs="Arial"/>
          <w:sz w:val="22"/>
        </w:rPr>
      </w:pPr>
    </w:p>
    <w:p w14:paraId="7B80AD93" w14:textId="5F555D52" w:rsidR="00020DE7" w:rsidRDefault="00020DE7" w:rsidP="0085362C">
      <w:pPr>
        <w:pStyle w:val="ListParagraph"/>
        <w:numPr>
          <w:ilvl w:val="0"/>
          <w:numId w:val="6"/>
        </w:numPr>
        <w:snapToGrid w:val="0"/>
        <w:spacing w:line="280" w:lineRule="atLeast"/>
        <w:ind w:left="360"/>
        <w:contextualSpacing w:val="0"/>
        <w:jc w:val="both"/>
        <w:rPr>
          <w:rFonts w:ascii="Arial" w:hAnsi="Arial" w:cs="Arial"/>
          <w:sz w:val="22"/>
        </w:rPr>
      </w:pPr>
      <w:r w:rsidRPr="009B6768">
        <w:rPr>
          <w:rFonts w:ascii="Arial" w:hAnsi="Arial" w:cs="Arial" w:hint="eastAsia"/>
          <w:sz w:val="22"/>
        </w:rPr>
        <w:t>Guidelines on Anti-Money Laundering and Counter-Terrorist Financ</w:t>
      </w:r>
      <w:r w:rsidR="009B6768">
        <w:rPr>
          <w:rFonts w:ascii="Arial" w:hAnsi="Arial" w:cs="Arial" w:hint="eastAsia"/>
          <w:sz w:val="22"/>
        </w:rPr>
        <w:t>ing for Professional Accountant</w:t>
      </w:r>
      <w:r w:rsidR="009B6768">
        <w:rPr>
          <w:rFonts w:ascii="Arial" w:hAnsi="Arial" w:cs="Arial"/>
          <w:sz w:val="22"/>
        </w:rPr>
        <w:t xml:space="preserve">s </w:t>
      </w:r>
      <w:r w:rsidRPr="009B6768">
        <w:rPr>
          <w:rFonts w:ascii="Arial" w:hAnsi="Arial" w:cs="Arial"/>
          <w:sz w:val="22"/>
        </w:rPr>
        <w:t>issued by the HKICPA;</w:t>
      </w:r>
    </w:p>
    <w:p w14:paraId="68EA002F" w14:textId="77777777" w:rsidR="0065359F" w:rsidRPr="009B6768" w:rsidRDefault="0065359F" w:rsidP="0085362C">
      <w:pPr>
        <w:pStyle w:val="ListParagraph"/>
        <w:snapToGrid w:val="0"/>
        <w:spacing w:line="280" w:lineRule="atLeast"/>
        <w:contextualSpacing w:val="0"/>
        <w:jc w:val="both"/>
        <w:rPr>
          <w:rFonts w:ascii="Arial" w:hAnsi="Arial" w:cs="Arial"/>
          <w:sz w:val="22"/>
        </w:rPr>
      </w:pPr>
    </w:p>
    <w:p w14:paraId="128FC782" w14:textId="4C11360E" w:rsidR="00020DE7" w:rsidRPr="00020DE7" w:rsidRDefault="00020DE7" w:rsidP="0085362C">
      <w:pPr>
        <w:pStyle w:val="ListParagraph"/>
        <w:numPr>
          <w:ilvl w:val="0"/>
          <w:numId w:val="6"/>
        </w:numPr>
        <w:snapToGrid w:val="0"/>
        <w:spacing w:line="280" w:lineRule="atLeast"/>
        <w:ind w:left="360"/>
        <w:contextualSpacing w:val="0"/>
        <w:jc w:val="both"/>
        <w:rPr>
          <w:rFonts w:ascii="Arial" w:hAnsi="Arial" w:cs="Arial"/>
          <w:sz w:val="22"/>
        </w:rPr>
      </w:pPr>
      <w:r w:rsidRPr="00020DE7">
        <w:rPr>
          <w:rFonts w:ascii="Arial" w:hAnsi="Arial" w:cs="Arial" w:hint="eastAsia"/>
          <w:sz w:val="22"/>
        </w:rPr>
        <w:lastRenderedPageBreak/>
        <w:t>Applicable sections of the following ordinances:</w:t>
      </w:r>
    </w:p>
    <w:p w14:paraId="6E1EC433" w14:textId="203ED251" w:rsidR="00020DE7" w:rsidRPr="00C917F1" w:rsidRDefault="0065359F" w:rsidP="0085362C">
      <w:pPr>
        <w:pStyle w:val="ListParagraph"/>
        <w:numPr>
          <w:ilvl w:val="0"/>
          <w:numId w:val="7"/>
        </w:numPr>
        <w:snapToGrid w:val="0"/>
        <w:spacing w:line="280" w:lineRule="atLeast"/>
        <w:ind w:left="720"/>
        <w:contextualSpacing w:val="0"/>
        <w:jc w:val="both"/>
        <w:rPr>
          <w:rFonts w:ascii="Arial" w:hAnsi="Arial" w:cs="Arial"/>
          <w:sz w:val="22"/>
        </w:rPr>
      </w:pPr>
      <w:r>
        <w:rPr>
          <w:rFonts w:ascii="Arial" w:hAnsi="Arial" w:cs="Arial"/>
          <w:sz w:val="22"/>
        </w:rPr>
        <w:t>AML</w:t>
      </w:r>
      <w:r w:rsidR="00020DE7" w:rsidRPr="00C917F1">
        <w:rPr>
          <w:rFonts w:ascii="Arial" w:hAnsi="Arial" w:cs="Arial"/>
          <w:sz w:val="22"/>
        </w:rPr>
        <w:t>O - Anti-Money Laundering and Counter-Terrorist Financing (Financial Institutions and</w:t>
      </w:r>
      <w:r w:rsidR="00C917F1" w:rsidRPr="00C917F1">
        <w:rPr>
          <w:rFonts w:ascii="Arial" w:hAnsi="Arial" w:cs="Arial"/>
          <w:sz w:val="22"/>
        </w:rPr>
        <w:t xml:space="preserve"> </w:t>
      </w:r>
      <w:r w:rsidR="00020DE7" w:rsidRPr="00C917F1">
        <w:rPr>
          <w:rFonts w:ascii="Arial" w:hAnsi="Arial" w:cs="Arial"/>
          <w:sz w:val="22"/>
        </w:rPr>
        <w:t>Designated Non-Financial Businesses and Professions) Ordinance (Cap. 615);</w:t>
      </w:r>
    </w:p>
    <w:p w14:paraId="2D59C2B4" w14:textId="618A5853" w:rsidR="00020DE7" w:rsidRPr="00C917F1" w:rsidRDefault="00020DE7" w:rsidP="0085362C">
      <w:pPr>
        <w:pStyle w:val="ListParagraph"/>
        <w:numPr>
          <w:ilvl w:val="0"/>
          <w:numId w:val="7"/>
        </w:numPr>
        <w:snapToGrid w:val="0"/>
        <w:spacing w:line="280" w:lineRule="atLeast"/>
        <w:ind w:left="720"/>
        <w:contextualSpacing w:val="0"/>
        <w:jc w:val="both"/>
        <w:rPr>
          <w:rFonts w:ascii="Arial" w:hAnsi="Arial" w:cs="Arial"/>
          <w:sz w:val="22"/>
        </w:rPr>
      </w:pPr>
      <w:r w:rsidRPr="00C917F1">
        <w:rPr>
          <w:rFonts w:ascii="Arial" w:hAnsi="Arial" w:cs="Arial"/>
          <w:sz w:val="22"/>
        </w:rPr>
        <w:t>DTROP - Drug Trafficking (Recovery of Proceeds) Ordinance (Cap. 405)</w:t>
      </w:r>
    </w:p>
    <w:p w14:paraId="678F35B3" w14:textId="74960B6C" w:rsidR="00020DE7" w:rsidRPr="00C917F1" w:rsidRDefault="00020DE7" w:rsidP="0085362C">
      <w:pPr>
        <w:pStyle w:val="ListParagraph"/>
        <w:numPr>
          <w:ilvl w:val="0"/>
          <w:numId w:val="7"/>
        </w:numPr>
        <w:snapToGrid w:val="0"/>
        <w:spacing w:line="280" w:lineRule="atLeast"/>
        <w:ind w:left="720"/>
        <w:contextualSpacing w:val="0"/>
        <w:jc w:val="both"/>
        <w:rPr>
          <w:rFonts w:ascii="Arial" w:hAnsi="Arial" w:cs="Arial"/>
          <w:sz w:val="22"/>
        </w:rPr>
      </w:pPr>
      <w:r w:rsidRPr="00C917F1">
        <w:rPr>
          <w:rFonts w:ascii="Arial" w:hAnsi="Arial" w:cs="Arial"/>
          <w:sz w:val="22"/>
        </w:rPr>
        <w:t>OSCO - Organised and Serious Crimes Ordinance (Cap. 455);</w:t>
      </w:r>
    </w:p>
    <w:p w14:paraId="7C0C0AB6" w14:textId="663E2909" w:rsidR="00020DE7" w:rsidRDefault="00020DE7" w:rsidP="0085362C">
      <w:pPr>
        <w:pStyle w:val="ListParagraph"/>
        <w:numPr>
          <w:ilvl w:val="0"/>
          <w:numId w:val="7"/>
        </w:numPr>
        <w:snapToGrid w:val="0"/>
        <w:spacing w:line="280" w:lineRule="atLeast"/>
        <w:ind w:left="720"/>
        <w:contextualSpacing w:val="0"/>
        <w:jc w:val="both"/>
        <w:rPr>
          <w:rFonts w:ascii="Arial" w:hAnsi="Arial" w:cs="Arial"/>
          <w:sz w:val="22"/>
        </w:rPr>
      </w:pPr>
      <w:r w:rsidRPr="00C917F1">
        <w:rPr>
          <w:rFonts w:ascii="Arial" w:hAnsi="Arial" w:cs="Arial"/>
          <w:sz w:val="22"/>
        </w:rPr>
        <w:t>UNATMO - United Nations (Anti-Terrorism Measures) Ordinance (Cap. 575);</w:t>
      </w:r>
    </w:p>
    <w:p w14:paraId="79B9309B" w14:textId="77777777" w:rsidR="00E310DF" w:rsidRPr="00C917F1" w:rsidRDefault="00E310DF" w:rsidP="0085362C">
      <w:pPr>
        <w:pStyle w:val="ListParagraph"/>
        <w:snapToGrid w:val="0"/>
        <w:spacing w:line="280" w:lineRule="atLeast"/>
        <w:ind w:left="1440"/>
        <w:contextualSpacing w:val="0"/>
        <w:jc w:val="both"/>
        <w:rPr>
          <w:rFonts w:ascii="Arial" w:hAnsi="Arial" w:cs="Arial"/>
          <w:sz w:val="22"/>
        </w:rPr>
      </w:pPr>
    </w:p>
    <w:p w14:paraId="7FFFCEF1" w14:textId="4DEBDA23" w:rsidR="00020DE7" w:rsidRPr="00C917F1" w:rsidRDefault="00020DE7" w:rsidP="0085362C">
      <w:pPr>
        <w:pStyle w:val="ListParagraph"/>
        <w:numPr>
          <w:ilvl w:val="0"/>
          <w:numId w:val="6"/>
        </w:numPr>
        <w:snapToGrid w:val="0"/>
        <w:spacing w:line="280" w:lineRule="atLeast"/>
        <w:ind w:left="360"/>
        <w:contextualSpacing w:val="0"/>
        <w:jc w:val="both"/>
        <w:rPr>
          <w:rFonts w:ascii="Arial" w:hAnsi="Arial" w:cs="Arial"/>
          <w:sz w:val="22"/>
        </w:rPr>
      </w:pPr>
      <w:r w:rsidRPr="00020DE7">
        <w:rPr>
          <w:rFonts w:ascii="Arial" w:hAnsi="Arial" w:cs="Arial" w:hint="eastAsia"/>
          <w:sz w:val="22"/>
        </w:rPr>
        <w:t>For entities controlled by the practice that offer trust or company services, also the Guideline on</w:t>
      </w:r>
      <w:r w:rsidR="00C917F1">
        <w:rPr>
          <w:rFonts w:ascii="Arial" w:hAnsi="Arial" w:cs="Arial"/>
          <w:sz w:val="22"/>
        </w:rPr>
        <w:t xml:space="preserve"> </w:t>
      </w:r>
      <w:r w:rsidRPr="00C917F1">
        <w:rPr>
          <w:rFonts w:ascii="Arial" w:hAnsi="Arial" w:cs="Arial"/>
          <w:sz w:val="22"/>
        </w:rPr>
        <w:t>Compliance of Anti-Money Laundering and Counter-Terrorist Financing Requirements for Trust or</w:t>
      </w:r>
      <w:r w:rsidR="00C917F1">
        <w:rPr>
          <w:rFonts w:ascii="Arial" w:hAnsi="Arial" w:cs="Arial"/>
          <w:sz w:val="22"/>
        </w:rPr>
        <w:t xml:space="preserve"> C</w:t>
      </w:r>
      <w:r w:rsidRPr="00C917F1">
        <w:rPr>
          <w:rFonts w:ascii="Arial" w:hAnsi="Arial" w:cs="Arial"/>
          <w:sz w:val="22"/>
        </w:rPr>
        <w:t>ompany Service Providers, issued by the Companies Registry.</w:t>
      </w:r>
    </w:p>
    <w:p w14:paraId="1789D70D" w14:textId="77777777" w:rsidR="00C917F1" w:rsidRDefault="00C917F1" w:rsidP="0085362C">
      <w:pPr>
        <w:snapToGrid w:val="0"/>
        <w:spacing w:line="280" w:lineRule="atLeast"/>
        <w:jc w:val="both"/>
        <w:rPr>
          <w:rFonts w:ascii="Arial" w:hAnsi="Arial" w:cs="Arial"/>
          <w:sz w:val="22"/>
        </w:rPr>
      </w:pPr>
    </w:p>
    <w:p w14:paraId="55578CC0" w14:textId="464DA57C" w:rsidR="00020DE7" w:rsidRPr="00020DE7" w:rsidRDefault="00020DE7" w:rsidP="0085362C">
      <w:pPr>
        <w:snapToGrid w:val="0"/>
        <w:spacing w:line="280" w:lineRule="atLeast"/>
        <w:jc w:val="both"/>
        <w:rPr>
          <w:rFonts w:ascii="Arial" w:hAnsi="Arial" w:cs="Arial"/>
          <w:sz w:val="22"/>
        </w:rPr>
      </w:pPr>
      <w:r w:rsidRPr="00020DE7">
        <w:rPr>
          <w:rFonts w:ascii="Arial" w:hAnsi="Arial" w:cs="Arial"/>
          <w:sz w:val="22"/>
        </w:rPr>
        <w:t>They should also be made aware of the practice’s policies and procedures to prevent money laundering and</w:t>
      </w:r>
      <w:r w:rsidR="004246E2">
        <w:rPr>
          <w:rFonts w:ascii="Arial" w:hAnsi="Arial" w:cs="Arial"/>
          <w:sz w:val="22"/>
        </w:rPr>
        <w:t xml:space="preserve"> </w:t>
      </w:r>
      <w:r w:rsidRPr="00020DE7">
        <w:rPr>
          <w:rFonts w:ascii="Arial" w:hAnsi="Arial" w:cs="Arial"/>
          <w:sz w:val="22"/>
        </w:rPr>
        <w:t>combat terrorist financing.</w:t>
      </w:r>
    </w:p>
    <w:p w14:paraId="408A3B14" w14:textId="77777777" w:rsidR="004246E2" w:rsidRDefault="004246E2" w:rsidP="0085362C">
      <w:pPr>
        <w:snapToGrid w:val="0"/>
        <w:spacing w:line="280" w:lineRule="atLeast"/>
        <w:jc w:val="both"/>
        <w:rPr>
          <w:rFonts w:ascii="Arial" w:hAnsi="Arial" w:cs="Arial"/>
          <w:sz w:val="22"/>
        </w:rPr>
      </w:pPr>
    </w:p>
    <w:p w14:paraId="40793012" w14:textId="5E1C4D7C" w:rsidR="00020DE7" w:rsidRPr="00020DE7" w:rsidRDefault="00020DE7" w:rsidP="0085362C">
      <w:pPr>
        <w:snapToGrid w:val="0"/>
        <w:spacing w:line="280" w:lineRule="atLeast"/>
        <w:jc w:val="both"/>
        <w:rPr>
          <w:rFonts w:ascii="Arial" w:hAnsi="Arial" w:cs="Arial"/>
          <w:sz w:val="22"/>
        </w:rPr>
      </w:pPr>
      <w:r w:rsidRPr="00020DE7">
        <w:rPr>
          <w:rFonts w:ascii="Arial" w:hAnsi="Arial" w:cs="Arial"/>
          <w:sz w:val="22"/>
        </w:rPr>
        <w:t>Staff should also be given regular updates on identifying and dealing with suspicious transactions. This will</w:t>
      </w:r>
      <w:r w:rsidR="004246E2">
        <w:rPr>
          <w:rFonts w:ascii="Arial" w:hAnsi="Arial" w:cs="Arial"/>
          <w:sz w:val="22"/>
        </w:rPr>
        <w:t xml:space="preserve"> </w:t>
      </w:r>
      <w:r w:rsidRPr="00020DE7">
        <w:rPr>
          <w:rFonts w:ascii="Arial" w:hAnsi="Arial" w:cs="Arial"/>
          <w:sz w:val="22"/>
        </w:rPr>
        <w:t>generally be at least annually.</w:t>
      </w:r>
    </w:p>
    <w:p w14:paraId="5FFE9318" w14:textId="77777777" w:rsidR="004246E2" w:rsidRDefault="004246E2" w:rsidP="0085362C">
      <w:pPr>
        <w:snapToGrid w:val="0"/>
        <w:spacing w:line="280" w:lineRule="atLeast"/>
        <w:jc w:val="both"/>
        <w:rPr>
          <w:rFonts w:ascii="Arial" w:hAnsi="Arial" w:cs="Arial"/>
          <w:sz w:val="22"/>
        </w:rPr>
      </w:pPr>
    </w:p>
    <w:p w14:paraId="77A52995" w14:textId="7E66A548" w:rsidR="00020DE7" w:rsidRPr="00020DE7" w:rsidRDefault="00020DE7" w:rsidP="0085362C">
      <w:pPr>
        <w:snapToGrid w:val="0"/>
        <w:spacing w:line="280" w:lineRule="atLeast"/>
        <w:jc w:val="both"/>
        <w:rPr>
          <w:rFonts w:ascii="Arial" w:hAnsi="Arial" w:cs="Arial"/>
          <w:sz w:val="22"/>
        </w:rPr>
      </w:pPr>
      <w:r w:rsidRPr="00020DE7">
        <w:rPr>
          <w:rFonts w:ascii="Arial" w:hAnsi="Arial" w:cs="Arial"/>
          <w:sz w:val="22"/>
        </w:rPr>
        <w:t>The practice will only engage staff who appear capable of understanding and complying with the practice's</w:t>
      </w:r>
      <w:r w:rsidR="004246E2">
        <w:rPr>
          <w:rFonts w:ascii="Arial" w:hAnsi="Arial" w:cs="Arial"/>
          <w:sz w:val="22"/>
        </w:rPr>
        <w:t xml:space="preserve"> </w:t>
      </w:r>
      <w:r w:rsidRPr="00020DE7">
        <w:rPr>
          <w:rFonts w:ascii="Arial" w:hAnsi="Arial" w:cs="Arial"/>
          <w:sz w:val="22"/>
        </w:rPr>
        <w:t xml:space="preserve">policies and procedures on the </w:t>
      </w:r>
      <w:r w:rsidR="004246E2" w:rsidRPr="00020DE7">
        <w:rPr>
          <w:rFonts w:ascii="Arial" w:hAnsi="Arial" w:cs="Arial"/>
          <w:sz w:val="22"/>
        </w:rPr>
        <w:t>prevention</w:t>
      </w:r>
      <w:r w:rsidRPr="00020DE7">
        <w:rPr>
          <w:rFonts w:ascii="Arial" w:hAnsi="Arial" w:cs="Arial"/>
          <w:sz w:val="22"/>
        </w:rPr>
        <w:t xml:space="preserve"> and detection of money laundering and terrorist financing. New</w:t>
      </w:r>
      <w:r w:rsidR="004246E2">
        <w:rPr>
          <w:rFonts w:ascii="Arial" w:hAnsi="Arial" w:cs="Arial"/>
          <w:sz w:val="22"/>
        </w:rPr>
        <w:t xml:space="preserve"> </w:t>
      </w:r>
      <w:r w:rsidRPr="00020DE7">
        <w:rPr>
          <w:rFonts w:ascii="Arial" w:hAnsi="Arial" w:cs="Arial"/>
          <w:sz w:val="22"/>
        </w:rPr>
        <w:t>staff should receive introductory training as part of their induction process, unless they can demonstrate</w:t>
      </w:r>
      <w:r w:rsidR="0065359F">
        <w:rPr>
          <w:rFonts w:ascii="Arial" w:hAnsi="Arial" w:cs="Arial"/>
          <w:sz w:val="22"/>
        </w:rPr>
        <w:t xml:space="preserve"> </w:t>
      </w:r>
      <w:r w:rsidRPr="00020DE7">
        <w:rPr>
          <w:rFonts w:ascii="Arial" w:hAnsi="Arial" w:cs="Arial"/>
          <w:sz w:val="22"/>
        </w:rPr>
        <w:t>adequate knowledge as a result of training in previous practices. Nevertheless, they must be made fully</w:t>
      </w:r>
      <w:r w:rsidR="004246E2">
        <w:rPr>
          <w:rFonts w:ascii="Arial" w:hAnsi="Arial" w:cs="Arial"/>
          <w:sz w:val="22"/>
        </w:rPr>
        <w:t xml:space="preserve"> </w:t>
      </w:r>
      <w:r w:rsidRPr="00020DE7">
        <w:rPr>
          <w:rFonts w:ascii="Arial" w:hAnsi="Arial" w:cs="Arial"/>
          <w:sz w:val="22"/>
        </w:rPr>
        <w:t>aware of the practice’s policies and procedures.</w:t>
      </w:r>
    </w:p>
    <w:p w14:paraId="1AC34037" w14:textId="77777777" w:rsidR="001B677C" w:rsidRDefault="001B677C" w:rsidP="0085362C">
      <w:pPr>
        <w:snapToGrid w:val="0"/>
        <w:spacing w:line="280" w:lineRule="atLeast"/>
        <w:jc w:val="both"/>
        <w:rPr>
          <w:rFonts w:ascii="Arial" w:hAnsi="Arial" w:cs="Arial"/>
          <w:sz w:val="22"/>
        </w:rPr>
      </w:pPr>
    </w:p>
    <w:p w14:paraId="1639409A" w14:textId="27347CF6" w:rsidR="00020DE7" w:rsidRPr="0065359F" w:rsidRDefault="00020DE7" w:rsidP="0085362C">
      <w:pPr>
        <w:pStyle w:val="ListParagraph"/>
        <w:numPr>
          <w:ilvl w:val="0"/>
          <w:numId w:val="10"/>
        </w:numPr>
        <w:snapToGrid w:val="0"/>
        <w:spacing w:line="280" w:lineRule="atLeast"/>
        <w:ind w:left="360"/>
        <w:jc w:val="both"/>
        <w:rPr>
          <w:rFonts w:ascii="Arial" w:hAnsi="Arial" w:cs="Arial"/>
          <w:b/>
          <w:i/>
          <w:szCs w:val="24"/>
        </w:rPr>
      </w:pPr>
      <w:r w:rsidRPr="0065359F">
        <w:rPr>
          <w:rFonts w:ascii="Arial" w:hAnsi="Arial" w:cs="Arial"/>
          <w:b/>
          <w:i/>
          <w:szCs w:val="24"/>
        </w:rPr>
        <w:t>Internal control, monitoring and management of compliance</w:t>
      </w:r>
    </w:p>
    <w:p w14:paraId="0FED59BD" w14:textId="77777777" w:rsidR="002E3FCD" w:rsidRPr="002E3FCD" w:rsidRDefault="002E3FCD" w:rsidP="0085362C">
      <w:pPr>
        <w:snapToGrid w:val="0"/>
        <w:spacing w:line="280" w:lineRule="atLeast"/>
        <w:jc w:val="both"/>
        <w:rPr>
          <w:rFonts w:ascii="Arial" w:hAnsi="Arial" w:cs="Arial"/>
          <w:b/>
          <w:i/>
          <w:sz w:val="22"/>
        </w:rPr>
      </w:pPr>
    </w:p>
    <w:p w14:paraId="0DC3A213" w14:textId="379A69FD" w:rsidR="00020DE7" w:rsidRPr="00020DE7" w:rsidRDefault="00020DE7" w:rsidP="0085362C">
      <w:pPr>
        <w:snapToGrid w:val="0"/>
        <w:spacing w:line="280" w:lineRule="atLeast"/>
        <w:jc w:val="both"/>
        <w:rPr>
          <w:rFonts w:ascii="Arial" w:hAnsi="Arial" w:cs="Arial"/>
          <w:sz w:val="22"/>
        </w:rPr>
      </w:pPr>
      <w:r w:rsidRPr="00020DE7">
        <w:rPr>
          <w:rFonts w:ascii="Arial" w:hAnsi="Arial" w:cs="Arial"/>
          <w:sz w:val="22"/>
        </w:rPr>
        <w:t>The MLRO and the AML Compliance Office (CO) (who may be the same person) remain responsible for</w:t>
      </w:r>
      <w:r w:rsidR="002E3FCD">
        <w:rPr>
          <w:rFonts w:ascii="Arial" w:hAnsi="Arial" w:cs="Arial"/>
          <w:sz w:val="22"/>
        </w:rPr>
        <w:t xml:space="preserve"> </w:t>
      </w:r>
      <w:r w:rsidRPr="00020DE7">
        <w:rPr>
          <w:rFonts w:ascii="Arial" w:hAnsi="Arial" w:cs="Arial"/>
          <w:sz w:val="22"/>
        </w:rPr>
        <w:t>managing the practice’s reporting procedures, liaising with JFIU where consent is required, keeping the</w:t>
      </w:r>
      <w:r w:rsidR="002E3FCD">
        <w:rPr>
          <w:rFonts w:ascii="Arial" w:hAnsi="Arial" w:cs="Arial"/>
          <w:sz w:val="22"/>
        </w:rPr>
        <w:t xml:space="preserve"> </w:t>
      </w:r>
      <w:r w:rsidRPr="00020DE7">
        <w:rPr>
          <w:rFonts w:ascii="Arial" w:hAnsi="Arial" w:cs="Arial"/>
          <w:sz w:val="22"/>
        </w:rPr>
        <w:t>practice’s policies and procedures up</w:t>
      </w:r>
      <w:r w:rsidR="002E3FCD">
        <w:rPr>
          <w:rFonts w:ascii="Arial" w:hAnsi="Arial" w:cs="Arial"/>
          <w:sz w:val="22"/>
        </w:rPr>
        <w:t>-</w:t>
      </w:r>
      <w:r w:rsidRPr="00020DE7">
        <w:rPr>
          <w:rFonts w:ascii="Arial" w:hAnsi="Arial" w:cs="Arial"/>
          <w:sz w:val="22"/>
        </w:rPr>
        <w:t>to</w:t>
      </w:r>
      <w:r w:rsidR="002E3FCD">
        <w:rPr>
          <w:rFonts w:ascii="Arial" w:hAnsi="Arial" w:cs="Arial"/>
          <w:sz w:val="22"/>
        </w:rPr>
        <w:t>-</w:t>
      </w:r>
      <w:r w:rsidRPr="00020DE7">
        <w:rPr>
          <w:rFonts w:ascii="Arial" w:hAnsi="Arial" w:cs="Arial"/>
          <w:sz w:val="22"/>
        </w:rPr>
        <w:t>date and communicating those policies and procedures to principals,</w:t>
      </w:r>
      <w:r w:rsidR="0065359F">
        <w:rPr>
          <w:rFonts w:ascii="Arial" w:hAnsi="Arial" w:cs="Arial"/>
          <w:sz w:val="22"/>
        </w:rPr>
        <w:t xml:space="preserve"> </w:t>
      </w:r>
      <w:r w:rsidRPr="00020DE7">
        <w:rPr>
          <w:rFonts w:ascii="Arial" w:hAnsi="Arial" w:cs="Arial"/>
          <w:sz w:val="22"/>
        </w:rPr>
        <w:t>staff and sub-contractors. The CO or MLRO/CO also has overall responsibility for ensuring that the practice’s</w:t>
      </w:r>
      <w:r w:rsidR="002E3FCD">
        <w:rPr>
          <w:rFonts w:ascii="Arial" w:hAnsi="Arial" w:cs="Arial"/>
          <w:sz w:val="22"/>
        </w:rPr>
        <w:t xml:space="preserve"> </w:t>
      </w:r>
      <w:r w:rsidRPr="00020DE7">
        <w:rPr>
          <w:rFonts w:ascii="Arial" w:hAnsi="Arial" w:cs="Arial"/>
          <w:sz w:val="22"/>
        </w:rPr>
        <w:t>policies and procedures are complied with and are sufficient to meet the requirements of the law and the</w:t>
      </w:r>
      <w:r w:rsidR="002E3FCD">
        <w:rPr>
          <w:rFonts w:ascii="Arial" w:hAnsi="Arial" w:cs="Arial"/>
          <w:sz w:val="22"/>
        </w:rPr>
        <w:t xml:space="preserve"> </w:t>
      </w:r>
      <w:r w:rsidRPr="00020DE7">
        <w:rPr>
          <w:rFonts w:ascii="Arial" w:hAnsi="Arial" w:cs="Arial"/>
          <w:sz w:val="22"/>
        </w:rPr>
        <w:t>HKICPA Guidelines. This will involve periodic testing (at least annually) of the practice’s systems, including</w:t>
      </w:r>
      <w:r w:rsidR="0065359F">
        <w:rPr>
          <w:rFonts w:ascii="Arial" w:hAnsi="Arial" w:cs="Arial"/>
          <w:sz w:val="22"/>
        </w:rPr>
        <w:t xml:space="preserve"> </w:t>
      </w:r>
      <w:r w:rsidRPr="00020DE7">
        <w:rPr>
          <w:rFonts w:ascii="Arial" w:hAnsi="Arial" w:cs="Arial"/>
          <w:sz w:val="22"/>
        </w:rPr>
        <w:t>reviewing relevant records to ensure that the policies and procedures are operating properly.</w:t>
      </w:r>
    </w:p>
    <w:p w14:paraId="7FB9FC1F" w14:textId="77777777" w:rsidR="008C3E0E" w:rsidRDefault="008C3E0E" w:rsidP="0085362C">
      <w:pPr>
        <w:snapToGrid w:val="0"/>
        <w:spacing w:line="280" w:lineRule="atLeast"/>
        <w:jc w:val="both"/>
        <w:rPr>
          <w:rFonts w:ascii="Arial" w:hAnsi="Arial" w:cs="Arial"/>
          <w:sz w:val="22"/>
        </w:rPr>
      </w:pPr>
    </w:p>
    <w:p w14:paraId="5858F8F2" w14:textId="07C3BCCC" w:rsidR="00020DE7" w:rsidRDefault="00020DE7" w:rsidP="0085362C">
      <w:pPr>
        <w:snapToGrid w:val="0"/>
        <w:spacing w:line="280" w:lineRule="atLeast"/>
        <w:jc w:val="both"/>
        <w:rPr>
          <w:rFonts w:ascii="Arial" w:hAnsi="Arial" w:cs="Arial"/>
          <w:sz w:val="22"/>
        </w:rPr>
      </w:pPr>
      <w:r w:rsidRPr="00020DE7">
        <w:rPr>
          <w:rFonts w:ascii="Arial" w:hAnsi="Arial" w:cs="Arial"/>
          <w:sz w:val="22"/>
        </w:rPr>
        <w:t>All principals and managers are responsible for ensuring that these policies, together with the accompanying</w:t>
      </w:r>
      <w:r w:rsidR="008C3E0E">
        <w:rPr>
          <w:rFonts w:ascii="Arial" w:hAnsi="Arial" w:cs="Arial"/>
          <w:sz w:val="22"/>
        </w:rPr>
        <w:t xml:space="preserve"> </w:t>
      </w:r>
      <w:r w:rsidRPr="00020DE7">
        <w:rPr>
          <w:rFonts w:ascii="Arial" w:hAnsi="Arial" w:cs="Arial"/>
          <w:sz w:val="22"/>
        </w:rPr>
        <w:t>procedures in the manual are followed for their clients.</w:t>
      </w:r>
    </w:p>
    <w:p w14:paraId="7B2E87FE" w14:textId="77777777" w:rsidR="008C3E0E" w:rsidRPr="00020DE7" w:rsidRDefault="008C3E0E" w:rsidP="0085362C">
      <w:pPr>
        <w:snapToGrid w:val="0"/>
        <w:spacing w:line="280" w:lineRule="atLeast"/>
        <w:jc w:val="both"/>
        <w:rPr>
          <w:rFonts w:ascii="Arial" w:hAnsi="Arial" w:cs="Arial"/>
          <w:sz w:val="22"/>
        </w:rPr>
      </w:pPr>
    </w:p>
    <w:p w14:paraId="5D082A5A" w14:textId="3798358B" w:rsidR="00020DE7" w:rsidRDefault="00020DE7" w:rsidP="0085362C">
      <w:pPr>
        <w:snapToGrid w:val="0"/>
        <w:spacing w:line="280" w:lineRule="atLeast"/>
        <w:jc w:val="both"/>
        <w:rPr>
          <w:rFonts w:ascii="Arial" w:hAnsi="Arial" w:cs="Arial"/>
          <w:sz w:val="22"/>
        </w:rPr>
      </w:pPr>
      <w:r w:rsidRPr="00020DE7">
        <w:rPr>
          <w:rFonts w:ascii="Arial" w:hAnsi="Arial" w:cs="Arial"/>
          <w:sz w:val="22"/>
        </w:rPr>
        <w:t>The staff principal is responsible for ensuring that all principals and relevant staff have received adequate</w:t>
      </w:r>
      <w:r w:rsidR="008C3E0E">
        <w:rPr>
          <w:rFonts w:ascii="Arial" w:hAnsi="Arial" w:cs="Arial"/>
          <w:sz w:val="22"/>
        </w:rPr>
        <w:t xml:space="preserve"> </w:t>
      </w:r>
      <w:r w:rsidRPr="00020DE7">
        <w:rPr>
          <w:rFonts w:ascii="Arial" w:hAnsi="Arial" w:cs="Arial"/>
          <w:sz w:val="22"/>
        </w:rPr>
        <w:t>training and are aware of the practice’s policies and procedures.</w:t>
      </w:r>
    </w:p>
    <w:p w14:paraId="654AF5C7" w14:textId="77777777" w:rsidR="008C3E0E" w:rsidRPr="00020DE7" w:rsidRDefault="008C3E0E" w:rsidP="0085362C">
      <w:pPr>
        <w:snapToGrid w:val="0"/>
        <w:spacing w:line="280" w:lineRule="atLeast"/>
        <w:jc w:val="both"/>
        <w:rPr>
          <w:rFonts w:ascii="Arial" w:hAnsi="Arial" w:cs="Arial"/>
          <w:sz w:val="22"/>
        </w:rPr>
      </w:pPr>
    </w:p>
    <w:p w14:paraId="1D4D9923" w14:textId="776D2FC6" w:rsidR="00020DE7" w:rsidRPr="0065359F" w:rsidRDefault="00020DE7" w:rsidP="0085362C">
      <w:pPr>
        <w:pStyle w:val="ListParagraph"/>
        <w:numPr>
          <w:ilvl w:val="0"/>
          <w:numId w:val="10"/>
        </w:numPr>
        <w:snapToGrid w:val="0"/>
        <w:spacing w:line="280" w:lineRule="atLeast"/>
        <w:ind w:left="360"/>
        <w:jc w:val="both"/>
        <w:rPr>
          <w:rFonts w:ascii="Arial" w:hAnsi="Arial" w:cs="Arial"/>
          <w:b/>
          <w:i/>
          <w:szCs w:val="24"/>
        </w:rPr>
      </w:pPr>
      <w:r w:rsidRPr="0065359F">
        <w:rPr>
          <w:rFonts w:ascii="Arial" w:hAnsi="Arial" w:cs="Arial"/>
          <w:b/>
          <w:i/>
          <w:szCs w:val="24"/>
        </w:rPr>
        <w:t>Internal communication of such policies and procedures</w:t>
      </w:r>
    </w:p>
    <w:p w14:paraId="5895A7CB" w14:textId="77777777" w:rsidR="008C3E0E" w:rsidRPr="008C3E0E" w:rsidRDefault="008C3E0E" w:rsidP="0085362C">
      <w:pPr>
        <w:snapToGrid w:val="0"/>
        <w:spacing w:line="280" w:lineRule="atLeast"/>
        <w:jc w:val="both"/>
        <w:rPr>
          <w:rFonts w:ascii="Arial" w:hAnsi="Arial" w:cs="Arial"/>
          <w:b/>
          <w:i/>
          <w:sz w:val="22"/>
        </w:rPr>
      </w:pPr>
    </w:p>
    <w:p w14:paraId="0EC8C492" w14:textId="3778C93D" w:rsidR="00020DE7" w:rsidRDefault="00020DE7" w:rsidP="0085362C">
      <w:pPr>
        <w:snapToGrid w:val="0"/>
        <w:spacing w:line="280" w:lineRule="atLeast"/>
        <w:jc w:val="both"/>
        <w:rPr>
          <w:rFonts w:ascii="Arial" w:hAnsi="Arial" w:cs="Arial"/>
          <w:sz w:val="22"/>
        </w:rPr>
      </w:pPr>
      <w:r w:rsidRPr="00020DE7">
        <w:rPr>
          <w:rFonts w:ascii="Arial" w:hAnsi="Arial" w:cs="Arial"/>
          <w:sz w:val="22"/>
        </w:rPr>
        <w:t>The practice’s procedures are to be found on / at … [specify location, and whether in electronic or paper</w:t>
      </w:r>
      <w:r w:rsidR="008C3E0E">
        <w:rPr>
          <w:rFonts w:ascii="Arial" w:hAnsi="Arial" w:cs="Arial"/>
          <w:sz w:val="22"/>
        </w:rPr>
        <w:t xml:space="preserve"> </w:t>
      </w:r>
      <w:r w:rsidRPr="00020DE7">
        <w:rPr>
          <w:rFonts w:ascii="Arial" w:hAnsi="Arial" w:cs="Arial"/>
          <w:sz w:val="22"/>
        </w:rPr>
        <w:t>form].</w:t>
      </w:r>
    </w:p>
    <w:p w14:paraId="2FCD039A" w14:textId="77777777" w:rsidR="008C3E0E" w:rsidRPr="00020DE7" w:rsidRDefault="008C3E0E" w:rsidP="0085362C">
      <w:pPr>
        <w:snapToGrid w:val="0"/>
        <w:spacing w:line="280" w:lineRule="atLeast"/>
        <w:jc w:val="both"/>
        <w:rPr>
          <w:rFonts w:ascii="Arial" w:hAnsi="Arial" w:cs="Arial"/>
          <w:sz w:val="22"/>
        </w:rPr>
      </w:pPr>
    </w:p>
    <w:p w14:paraId="3386DF17" w14:textId="50EE6B7C" w:rsidR="00020DE7" w:rsidRDefault="00020DE7" w:rsidP="0085362C">
      <w:pPr>
        <w:snapToGrid w:val="0"/>
        <w:spacing w:line="280" w:lineRule="atLeast"/>
        <w:jc w:val="both"/>
        <w:rPr>
          <w:rFonts w:ascii="Arial" w:hAnsi="Arial" w:cs="Arial"/>
          <w:sz w:val="22"/>
        </w:rPr>
      </w:pPr>
      <w:r w:rsidRPr="00020DE7">
        <w:rPr>
          <w:rFonts w:ascii="Arial" w:hAnsi="Arial" w:cs="Arial"/>
          <w:sz w:val="22"/>
        </w:rPr>
        <w:lastRenderedPageBreak/>
        <w:t>All principals, staff and sub-contractors will sign an annual “Awareness of money laundering procedures”</w:t>
      </w:r>
      <w:r w:rsidR="008C3E0E">
        <w:rPr>
          <w:rFonts w:ascii="Arial" w:hAnsi="Arial" w:cs="Arial"/>
          <w:sz w:val="22"/>
        </w:rPr>
        <w:t xml:space="preserve"> </w:t>
      </w:r>
      <w:r w:rsidRPr="00020DE7">
        <w:rPr>
          <w:rFonts w:ascii="Arial" w:hAnsi="Arial" w:cs="Arial"/>
          <w:sz w:val="22"/>
        </w:rPr>
        <w:t>form to confirm that they have had the relevant training and will comply with the practice’s procedures. [T03</w:t>
      </w:r>
      <w:r w:rsidR="008C3E0E">
        <w:rPr>
          <w:rFonts w:ascii="Arial" w:hAnsi="Arial" w:cs="Arial"/>
          <w:sz w:val="22"/>
        </w:rPr>
        <w:t xml:space="preserve"> </w:t>
      </w:r>
      <w:r w:rsidRPr="00020DE7">
        <w:rPr>
          <w:rFonts w:ascii="Arial" w:hAnsi="Arial" w:cs="Arial"/>
          <w:sz w:val="22"/>
        </w:rPr>
        <w:t>in this manual]</w:t>
      </w:r>
    </w:p>
    <w:p w14:paraId="58293EDC" w14:textId="77777777" w:rsidR="00006957" w:rsidRDefault="00006957" w:rsidP="0085362C">
      <w:pPr>
        <w:snapToGrid w:val="0"/>
        <w:spacing w:line="280" w:lineRule="atLeast"/>
        <w:jc w:val="both"/>
        <w:rPr>
          <w:rFonts w:ascii="Arial" w:hAnsi="Arial" w:cs="Arial"/>
          <w:sz w:val="22"/>
        </w:rPr>
      </w:pPr>
    </w:p>
    <w:p w14:paraId="415D5F07" w14:textId="77777777" w:rsidR="00006957" w:rsidRPr="00006957" w:rsidRDefault="00006957" w:rsidP="0085362C">
      <w:pPr>
        <w:snapToGrid w:val="0"/>
        <w:spacing w:line="280" w:lineRule="atLeast"/>
        <w:jc w:val="both"/>
        <w:rPr>
          <w:rFonts w:ascii="Arial" w:hAnsi="Arial" w:cs="Arial"/>
          <w:sz w:val="22"/>
        </w:rPr>
      </w:pPr>
    </w:p>
    <w:sectPr w:rsidR="00006957" w:rsidRPr="00006957" w:rsidSect="004879B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6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2995" w14:textId="77777777" w:rsidR="004879B4" w:rsidRDefault="004879B4" w:rsidP="004879B4">
      <w:r>
        <w:separator/>
      </w:r>
    </w:p>
  </w:endnote>
  <w:endnote w:type="continuationSeparator" w:id="0">
    <w:p w14:paraId="30F93934" w14:textId="77777777" w:rsidR="004879B4" w:rsidRDefault="004879B4"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0734" w14:textId="77777777" w:rsidR="004879B4" w:rsidRDefault="0048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835330069"/>
      <w:docPartObj>
        <w:docPartGallery w:val="Page Numbers (Bottom of Page)"/>
        <w:docPartUnique/>
      </w:docPartObj>
    </w:sdtPr>
    <w:sdtEndPr>
      <w:rPr>
        <w:noProof/>
      </w:rPr>
    </w:sdtEndPr>
    <w:sdtContent>
      <w:p w14:paraId="22896814" w14:textId="0F3D1FB2" w:rsidR="004879B4" w:rsidRPr="004879B4" w:rsidRDefault="004879B4">
        <w:pPr>
          <w:pStyle w:val="Footer"/>
          <w:jc w:val="right"/>
          <w:rPr>
            <w:rFonts w:ascii="Arial" w:hAnsi="Arial" w:cs="Arial"/>
            <w:noProof/>
            <w:sz w:val="16"/>
            <w:szCs w:val="16"/>
          </w:rPr>
        </w:pPr>
        <w:r w:rsidRPr="004879B4">
          <w:rPr>
            <w:rFonts w:ascii="Arial" w:hAnsi="Arial" w:cs="Arial"/>
            <w:sz w:val="16"/>
            <w:szCs w:val="16"/>
          </w:rPr>
          <w:fldChar w:fldCharType="begin"/>
        </w:r>
        <w:r w:rsidRPr="004879B4">
          <w:rPr>
            <w:rFonts w:ascii="Arial" w:hAnsi="Arial" w:cs="Arial"/>
            <w:sz w:val="16"/>
            <w:szCs w:val="16"/>
          </w:rPr>
          <w:instrText xml:space="preserve"> PAGE   \* MERGEFORMAT </w:instrText>
        </w:r>
        <w:r w:rsidRPr="004879B4">
          <w:rPr>
            <w:rFonts w:ascii="Arial" w:hAnsi="Arial" w:cs="Arial"/>
            <w:sz w:val="16"/>
            <w:szCs w:val="16"/>
          </w:rPr>
          <w:fldChar w:fldCharType="separate"/>
        </w:r>
        <w:r w:rsidR="005B5C44">
          <w:rPr>
            <w:rFonts w:ascii="Arial" w:hAnsi="Arial" w:cs="Arial"/>
            <w:noProof/>
            <w:sz w:val="16"/>
            <w:szCs w:val="16"/>
          </w:rPr>
          <w:t>2</w:t>
        </w:r>
        <w:r w:rsidRPr="004879B4">
          <w:rPr>
            <w:rFonts w:ascii="Arial" w:hAnsi="Arial" w:cs="Arial"/>
            <w:noProof/>
            <w:sz w:val="16"/>
            <w:szCs w:val="16"/>
          </w:rPr>
          <w:fldChar w:fldCharType="end"/>
        </w:r>
      </w:p>
      <w:p w14:paraId="08F0DC84" w14:textId="3A3429D1" w:rsidR="004879B4" w:rsidRPr="004879B4" w:rsidRDefault="004879B4" w:rsidP="004879B4">
        <w:pPr>
          <w:pStyle w:val="Footer"/>
          <w:rPr>
            <w:rFonts w:ascii="Arial" w:hAnsi="Arial" w:cs="Arial"/>
            <w:sz w:val="16"/>
            <w:szCs w:val="16"/>
          </w:rPr>
        </w:pPr>
        <w:r w:rsidRPr="004879B4">
          <w:rPr>
            <w:rFonts w:ascii="Arial" w:hAnsi="Arial" w:cs="Arial"/>
            <w:noProof/>
            <w:sz w:val="16"/>
            <w:szCs w:val="16"/>
          </w:rPr>
          <w:t>12/2019</w:t>
        </w:r>
      </w:p>
    </w:sdtContent>
  </w:sdt>
  <w:p w14:paraId="79281428" w14:textId="77777777" w:rsidR="004879B4" w:rsidRDefault="00487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3244D" w14:textId="77777777" w:rsidR="004879B4" w:rsidRDefault="0048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44313" w14:textId="77777777" w:rsidR="004879B4" w:rsidRDefault="004879B4" w:rsidP="004879B4">
      <w:r>
        <w:separator/>
      </w:r>
    </w:p>
  </w:footnote>
  <w:footnote w:type="continuationSeparator" w:id="0">
    <w:p w14:paraId="144FC954" w14:textId="77777777" w:rsidR="004879B4" w:rsidRDefault="004879B4" w:rsidP="0048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E825" w14:textId="77777777" w:rsidR="004879B4" w:rsidRDefault="00487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1666" w14:textId="77777777" w:rsidR="004879B4" w:rsidRDefault="00487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BF19" w14:textId="77777777" w:rsidR="004879B4" w:rsidRDefault="00487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C94"/>
    <w:multiLevelType w:val="hybridMultilevel"/>
    <w:tmpl w:val="4440DD3E"/>
    <w:lvl w:ilvl="0" w:tplc="0658A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64F2D"/>
    <w:multiLevelType w:val="hybridMultilevel"/>
    <w:tmpl w:val="DC064B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B03AE7"/>
    <w:multiLevelType w:val="hybridMultilevel"/>
    <w:tmpl w:val="CABC3A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632273"/>
    <w:multiLevelType w:val="hybridMultilevel"/>
    <w:tmpl w:val="263E8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3C0E9D"/>
    <w:multiLevelType w:val="hybridMultilevel"/>
    <w:tmpl w:val="DE8C3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B5288B"/>
    <w:multiLevelType w:val="hybridMultilevel"/>
    <w:tmpl w:val="33E09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180604"/>
    <w:multiLevelType w:val="hybridMultilevel"/>
    <w:tmpl w:val="F06610F4"/>
    <w:lvl w:ilvl="0" w:tplc="0658A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36D89"/>
    <w:multiLevelType w:val="hybridMultilevel"/>
    <w:tmpl w:val="8F4E0F3C"/>
    <w:lvl w:ilvl="0" w:tplc="BDAE6E4A">
      <w:start w:val="1"/>
      <w:numFmt w:val="lowerLetter"/>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15193E"/>
    <w:multiLevelType w:val="hybridMultilevel"/>
    <w:tmpl w:val="2DC41F0E"/>
    <w:lvl w:ilvl="0" w:tplc="0658A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4D7B71"/>
    <w:multiLevelType w:val="hybridMultilevel"/>
    <w:tmpl w:val="FEBE6CE8"/>
    <w:lvl w:ilvl="0" w:tplc="0658A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26F53"/>
    <w:multiLevelType w:val="hybridMultilevel"/>
    <w:tmpl w:val="20ACCE44"/>
    <w:lvl w:ilvl="0" w:tplc="0658A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8554C"/>
    <w:multiLevelType w:val="hybridMultilevel"/>
    <w:tmpl w:val="86002B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EF2728"/>
    <w:multiLevelType w:val="hybridMultilevel"/>
    <w:tmpl w:val="905A4CA2"/>
    <w:lvl w:ilvl="0" w:tplc="0658A8BA">
      <w:start w:val="1"/>
      <w:numFmt w:val="lowerLetter"/>
      <w:lvlText w:val="(%1)"/>
      <w:lvlJc w:val="left"/>
      <w:pPr>
        <w:ind w:left="720" w:hanging="360"/>
      </w:pPr>
      <w:rPr>
        <w:rFonts w:hint="default"/>
      </w:rPr>
    </w:lvl>
    <w:lvl w:ilvl="1" w:tplc="6238745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2D6CE7"/>
    <w:multiLevelType w:val="hybridMultilevel"/>
    <w:tmpl w:val="DC84699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C0F1C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601C32"/>
    <w:multiLevelType w:val="hybridMultilevel"/>
    <w:tmpl w:val="E5882D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2335E8"/>
    <w:multiLevelType w:val="hybridMultilevel"/>
    <w:tmpl w:val="38846F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EE6881"/>
    <w:multiLevelType w:val="hybridMultilevel"/>
    <w:tmpl w:val="CB5E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8591E"/>
    <w:multiLevelType w:val="hybridMultilevel"/>
    <w:tmpl w:val="5DB2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560FB"/>
    <w:multiLevelType w:val="hybridMultilevel"/>
    <w:tmpl w:val="A90226F2"/>
    <w:lvl w:ilvl="0" w:tplc="0658A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6E6A92"/>
    <w:multiLevelType w:val="hybridMultilevel"/>
    <w:tmpl w:val="3BC8BBA0"/>
    <w:lvl w:ilvl="0" w:tplc="1210737E">
      <w:start w:val="1"/>
      <w:numFmt w:val="lowerLetter"/>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1838E6"/>
    <w:multiLevelType w:val="hybridMultilevel"/>
    <w:tmpl w:val="0EEAA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BB25DF"/>
    <w:multiLevelType w:val="hybridMultilevel"/>
    <w:tmpl w:val="D494B2D4"/>
    <w:lvl w:ilvl="0" w:tplc="0658A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FC5CF318">
      <w:start w:val="1"/>
      <w:numFmt w:val="lowerLetter"/>
      <w:lvlText w:val="(%3)"/>
      <w:lvlJc w:val="right"/>
      <w:pPr>
        <w:ind w:left="2160" w:hanging="180"/>
      </w:pPr>
      <w:rPr>
        <w:rFonts w:ascii="Arial" w:eastAsiaTheme="minorEastAsia"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4"/>
  </w:num>
  <w:num w:numId="5">
    <w:abstractNumId w:val="17"/>
  </w:num>
  <w:num w:numId="6">
    <w:abstractNumId w:val="16"/>
  </w:num>
  <w:num w:numId="7">
    <w:abstractNumId w:val="1"/>
  </w:num>
  <w:num w:numId="8">
    <w:abstractNumId w:val="12"/>
  </w:num>
  <w:num w:numId="9">
    <w:abstractNumId w:val="19"/>
  </w:num>
  <w:num w:numId="10">
    <w:abstractNumId w:val="15"/>
  </w:num>
  <w:num w:numId="11">
    <w:abstractNumId w:val="14"/>
  </w:num>
  <w:num w:numId="12">
    <w:abstractNumId w:val="13"/>
  </w:num>
  <w:num w:numId="13">
    <w:abstractNumId w:val="9"/>
  </w:num>
  <w:num w:numId="14">
    <w:abstractNumId w:val="0"/>
  </w:num>
  <w:num w:numId="15">
    <w:abstractNumId w:val="8"/>
  </w:num>
  <w:num w:numId="16">
    <w:abstractNumId w:val="21"/>
  </w:num>
  <w:num w:numId="17">
    <w:abstractNumId w:val="6"/>
  </w:num>
  <w:num w:numId="18">
    <w:abstractNumId w:val="7"/>
  </w:num>
  <w:num w:numId="19">
    <w:abstractNumId w:val="20"/>
  </w:num>
  <w:num w:numId="20">
    <w:abstractNumId w:val="3"/>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57"/>
    <w:rsid w:val="00006957"/>
    <w:rsid w:val="00020DE7"/>
    <w:rsid w:val="00094A8E"/>
    <w:rsid w:val="000A2794"/>
    <w:rsid w:val="000A6B2F"/>
    <w:rsid w:val="001114C9"/>
    <w:rsid w:val="00165194"/>
    <w:rsid w:val="001720B8"/>
    <w:rsid w:val="001925B5"/>
    <w:rsid w:val="001B677C"/>
    <w:rsid w:val="001D400C"/>
    <w:rsid w:val="0020726C"/>
    <w:rsid w:val="0021566A"/>
    <w:rsid w:val="00250886"/>
    <w:rsid w:val="002E3FCD"/>
    <w:rsid w:val="003329EF"/>
    <w:rsid w:val="00370836"/>
    <w:rsid w:val="003C16C3"/>
    <w:rsid w:val="003F3109"/>
    <w:rsid w:val="00404ABE"/>
    <w:rsid w:val="004246E2"/>
    <w:rsid w:val="00427252"/>
    <w:rsid w:val="00440103"/>
    <w:rsid w:val="00440351"/>
    <w:rsid w:val="00447317"/>
    <w:rsid w:val="004879B4"/>
    <w:rsid w:val="004A5F79"/>
    <w:rsid w:val="004E6EE3"/>
    <w:rsid w:val="004F1F0B"/>
    <w:rsid w:val="00536C19"/>
    <w:rsid w:val="005430C4"/>
    <w:rsid w:val="005773DC"/>
    <w:rsid w:val="005B5C44"/>
    <w:rsid w:val="005D785E"/>
    <w:rsid w:val="0065359F"/>
    <w:rsid w:val="00670510"/>
    <w:rsid w:val="00671B50"/>
    <w:rsid w:val="00760BFD"/>
    <w:rsid w:val="007F2828"/>
    <w:rsid w:val="0082349F"/>
    <w:rsid w:val="0085362C"/>
    <w:rsid w:val="00896579"/>
    <w:rsid w:val="008B06CA"/>
    <w:rsid w:val="008C3E0E"/>
    <w:rsid w:val="00903F3C"/>
    <w:rsid w:val="0092628B"/>
    <w:rsid w:val="00977396"/>
    <w:rsid w:val="009A042D"/>
    <w:rsid w:val="009B6768"/>
    <w:rsid w:val="00A031BD"/>
    <w:rsid w:val="00A0584B"/>
    <w:rsid w:val="00A3597E"/>
    <w:rsid w:val="00A54D48"/>
    <w:rsid w:val="00A60E32"/>
    <w:rsid w:val="00A82862"/>
    <w:rsid w:val="00B62D70"/>
    <w:rsid w:val="00B754A8"/>
    <w:rsid w:val="00BC102E"/>
    <w:rsid w:val="00C14F21"/>
    <w:rsid w:val="00C50BC9"/>
    <w:rsid w:val="00C61CA2"/>
    <w:rsid w:val="00C917F1"/>
    <w:rsid w:val="00D13F51"/>
    <w:rsid w:val="00D23842"/>
    <w:rsid w:val="00D52034"/>
    <w:rsid w:val="00DD541C"/>
    <w:rsid w:val="00E310DF"/>
    <w:rsid w:val="00E3653F"/>
    <w:rsid w:val="00E71DE2"/>
    <w:rsid w:val="00EB31D3"/>
    <w:rsid w:val="00EE0C7E"/>
    <w:rsid w:val="00F9266C"/>
    <w:rsid w:val="00FA15E9"/>
    <w:rsid w:val="00FD2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8B07DC"/>
  <w15:chartTrackingRefBased/>
  <w15:docId w15:val="{369F32BE-093C-4B31-884F-6CCFED89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DE7"/>
    <w:pPr>
      <w:ind w:left="720"/>
      <w:contextualSpacing/>
    </w:pPr>
  </w:style>
  <w:style w:type="character" w:styleId="CommentReference">
    <w:name w:val="annotation reference"/>
    <w:basedOn w:val="DefaultParagraphFont"/>
    <w:uiPriority w:val="99"/>
    <w:semiHidden/>
    <w:unhideWhenUsed/>
    <w:rsid w:val="00020DE7"/>
    <w:rPr>
      <w:sz w:val="16"/>
      <w:szCs w:val="16"/>
    </w:rPr>
  </w:style>
  <w:style w:type="paragraph" w:styleId="CommentText">
    <w:name w:val="annotation text"/>
    <w:basedOn w:val="Normal"/>
    <w:link w:val="CommentTextChar"/>
    <w:uiPriority w:val="99"/>
    <w:semiHidden/>
    <w:unhideWhenUsed/>
    <w:rsid w:val="00020DE7"/>
    <w:rPr>
      <w:sz w:val="20"/>
      <w:szCs w:val="20"/>
    </w:rPr>
  </w:style>
  <w:style w:type="character" w:customStyle="1" w:styleId="CommentTextChar">
    <w:name w:val="Comment Text Char"/>
    <w:basedOn w:val="DefaultParagraphFont"/>
    <w:link w:val="CommentText"/>
    <w:uiPriority w:val="99"/>
    <w:semiHidden/>
    <w:rsid w:val="00020DE7"/>
    <w:rPr>
      <w:sz w:val="20"/>
      <w:szCs w:val="20"/>
    </w:rPr>
  </w:style>
  <w:style w:type="paragraph" w:styleId="CommentSubject">
    <w:name w:val="annotation subject"/>
    <w:basedOn w:val="CommentText"/>
    <w:next w:val="CommentText"/>
    <w:link w:val="CommentSubjectChar"/>
    <w:uiPriority w:val="99"/>
    <w:semiHidden/>
    <w:unhideWhenUsed/>
    <w:rsid w:val="00020DE7"/>
    <w:rPr>
      <w:b/>
      <w:bCs/>
    </w:rPr>
  </w:style>
  <w:style w:type="character" w:customStyle="1" w:styleId="CommentSubjectChar">
    <w:name w:val="Comment Subject Char"/>
    <w:basedOn w:val="CommentTextChar"/>
    <w:link w:val="CommentSubject"/>
    <w:uiPriority w:val="99"/>
    <w:semiHidden/>
    <w:rsid w:val="00020DE7"/>
    <w:rPr>
      <w:b/>
      <w:bCs/>
      <w:sz w:val="20"/>
      <w:szCs w:val="20"/>
    </w:rPr>
  </w:style>
  <w:style w:type="paragraph" w:styleId="BalloonText">
    <w:name w:val="Balloon Text"/>
    <w:basedOn w:val="Normal"/>
    <w:link w:val="BalloonTextChar"/>
    <w:uiPriority w:val="99"/>
    <w:semiHidden/>
    <w:unhideWhenUsed/>
    <w:rsid w:val="00020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DE7"/>
    <w:rPr>
      <w:rFonts w:ascii="Segoe UI" w:hAnsi="Segoe UI" w:cs="Segoe UI"/>
      <w:sz w:val="18"/>
      <w:szCs w:val="18"/>
    </w:rPr>
  </w:style>
  <w:style w:type="character" w:styleId="Hyperlink">
    <w:name w:val="Hyperlink"/>
    <w:uiPriority w:val="99"/>
    <w:unhideWhenUsed/>
    <w:rsid w:val="00A54D48"/>
    <w:rPr>
      <w:color w:val="0000FF"/>
      <w:u w:val="single"/>
    </w:rPr>
  </w:style>
  <w:style w:type="table" w:customStyle="1" w:styleId="TableGrid2">
    <w:name w:val="Table Grid2"/>
    <w:basedOn w:val="TableNormal"/>
    <w:next w:val="TableGrid"/>
    <w:uiPriority w:val="59"/>
    <w:rsid w:val="00C5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25B5"/>
  </w:style>
  <w:style w:type="paragraph" w:styleId="Header">
    <w:name w:val="header"/>
    <w:basedOn w:val="Normal"/>
    <w:link w:val="HeaderChar"/>
    <w:uiPriority w:val="99"/>
    <w:unhideWhenUsed/>
    <w:rsid w:val="004879B4"/>
    <w:pPr>
      <w:tabs>
        <w:tab w:val="center" w:pos="4680"/>
        <w:tab w:val="right" w:pos="9360"/>
      </w:tabs>
    </w:pPr>
  </w:style>
  <w:style w:type="character" w:customStyle="1" w:styleId="HeaderChar">
    <w:name w:val="Header Char"/>
    <w:basedOn w:val="DefaultParagraphFont"/>
    <w:link w:val="Header"/>
    <w:uiPriority w:val="99"/>
    <w:rsid w:val="004879B4"/>
  </w:style>
  <w:style w:type="paragraph" w:styleId="Footer">
    <w:name w:val="footer"/>
    <w:basedOn w:val="Normal"/>
    <w:link w:val="FooterChar"/>
    <w:uiPriority w:val="99"/>
    <w:unhideWhenUsed/>
    <w:rsid w:val="004879B4"/>
    <w:pPr>
      <w:tabs>
        <w:tab w:val="center" w:pos="4680"/>
        <w:tab w:val="right" w:pos="9360"/>
      </w:tabs>
    </w:pPr>
  </w:style>
  <w:style w:type="character" w:customStyle="1" w:styleId="FooterChar">
    <w:name w:val="Footer Char"/>
    <w:basedOn w:val="DefaultParagraphFont"/>
    <w:link w:val="Footer"/>
    <w:uiPriority w:val="99"/>
    <w:rsid w:val="0048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ecuritycouncil/content/un-sc-consolidated-lis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icpa.org.hk/en/standards-and-regulations/technical-resources/techwat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kicpa.org.hk/en/Standards-and-regulation/Anti-money-launde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nctionssearch.ofac.treas.gov/"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759C-C94F-4028-8DDC-A9B992A4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2729</Words>
  <Characters>15263</Characters>
  <Application>Microsoft Office Word</Application>
  <DocSecurity>0</DocSecurity>
  <Lines>347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Dennis Chan Shing Kwan</cp:lastModifiedBy>
  <cp:revision>4</cp:revision>
  <dcterms:created xsi:type="dcterms:W3CDTF">2019-12-04T07:39:00Z</dcterms:created>
  <dcterms:modified xsi:type="dcterms:W3CDTF">2020-03-31T01:23:00Z</dcterms:modified>
</cp:coreProperties>
</file>